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8A4B" w14:textId="77777777" w:rsidR="008D08CB" w:rsidRPr="00CB6A53" w:rsidRDefault="008D08CB" w:rsidP="008D08CB">
      <w:pPr>
        <w:rPr>
          <w:rFonts w:ascii="Arial" w:hAnsi="Arial" w:cs="Arial"/>
        </w:rPr>
      </w:pPr>
      <w:bookmarkStart w:id="0" w:name="_GoBack"/>
      <w:bookmarkEnd w:id="0"/>
    </w:p>
    <w:p w14:paraId="10683D22" w14:textId="77777777" w:rsidR="008D08CB" w:rsidRPr="00CB6A53" w:rsidRDefault="008D08CB" w:rsidP="008D08CB">
      <w:pPr>
        <w:ind w:left="5760" w:firstLine="720"/>
        <w:rPr>
          <w:rFonts w:ascii="Arial" w:hAnsi="Arial" w:cs="Arial"/>
          <w:b/>
          <w:color w:val="FF0000"/>
        </w:rPr>
      </w:pPr>
      <w:r w:rsidRPr="00CB6A53">
        <w:rPr>
          <w:rFonts w:ascii="Arial" w:hAnsi="Arial" w:cs="Arial"/>
        </w:rPr>
        <w:object w:dxaOrig="15358" w:dyaOrig="4334" w14:anchorId="16C66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pt;height:50.7pt" o:ole="">
            <v:imagedata r:id="rId8" o:title=""/>
          </v:shape>
          <o:OLEObject Type="Embed" ProgID="MSPhotoEd.3" ShapeID="_x0000_i1025" DrawAspect="Content" ObjectID="_1611061536" r:id="rId9"/>
        </w:object>
      </w:r>
    </w:p>
    <w:p w14:paraId="09FE0BAF" w14:textId="77777777" w:rsidR="008D08CB" w:rsidRPr="00CB6A53" w:rsidRDefault="008D08CB" w:rsidP="008D08CB">
      <w:pPr>
        <w:rPr>
          <w:rFonts w:ascii="Arial" w:hAnsi="Arial" w:cs="Arial"/>
          <w:b/>
        </w:rPr>
      </w:pPr>
    </w:p>
    <w:p w14:paraId="7212F33E" w14:textId="77777777" w:rsidR="008D08CB" w:rsidRPr="00CB6A53" w:rsidRDefault="008D08CB" w:rsidP="008D08CB">
      <w:pPr>
        <w:rPr>
          <w:rFonts w:ascii="Arial" w:hAnsi="Arial" w:cs="Arial"/>
          <w:b/>
        </w:rPr>
      </w:pPr>
      <w:r w:rsidRPr="00CB6A53">
        <w:rPr>
          <w:rFonts w:ascii="Arial" w:hAnsi="Arial" w:cs="Arial"/>
          <w:b/>
        </w:rPr>
        <w:t xml:space="preserve">REPORT OF THE AGMA DPA/FoIA COORDINATOR   </w:t>
      </w:r>
    </w:p>
    <w:p w14:paraId="5C0A73FA" w14:textId="2FECF438" w:rsidR="008D08CB" w:rsidRPr="00CB6A53" w:rsidRDefault="008D08CB" w:rsidP="008D08CB">
      <w:pPr>
        <w:rPr>
          <w:rFonts w:ascii="Arial" w:hAnsi="Arial" w:cs="Arial"/>
          <w:b/>
        </w:rPr>
      </w:pPr>
    </w:p>
    <w:p w14:paraId="181031BD" w14:textId="77777777" w:rsidR="008D08CB" w:rsidRPr="00CB6A53" w:rsidRDefault="008D08CB" w:rsidP="008D08CB">
      <w:pPr>
        <w:rPr>
          <w:rFonts w:ascii="Arial" w:hAnsi="Arial" w:cs="Arial"/>
          <w:b/>
        </w:rPr>
      </w:pPr>
    </w:p>
    <w:p w14:paraId="4050D310" w14:textId="77777777" w:rsidR="008D08CB" w:rsidRPr="00CB6A53" w:rsidRDefault="008D08CB" w:rsidP="008D08CB">
      <w:pPr>
        <w:rPr>
          <w:rFonts w:ascii="Arial" w:hAnsi="Arial" w:cs="Arial"/>
          <w:b/>
          <w:color w:val="FF0000"/>
        </w:rPr>
      </w:pPr>
    </w:p>
    <w:p w14:paraId="77BDD783" w14:textId="7B3057D2" w:rsidR="008D08CB" w:rsidRDefault="008D08CB" w:rsidP="008D08CB">
      <w:pPr>
        <w:rPr>
          <w:rFonts w:ascii="Arial" w:hAnsi="Arial" w:cs="Arial"/>
        </w:rPr>
      </w:pPr>
      <w:r w:rsidRPr="00CB6A53">
        <w:rPr>
          <w:rFonts w:ascii="Arial" w:hAnsi="Arial" w:cs="Arial"/>
        </w:rPr>
        <w:t xml:space="preserve">Date: </w:t>
      </w:r>
      <w:r w:rsidR="002B2EBE">
        <w:rPr>
          <w:rFonts w:ascii="Arial" w:hAnsi="Arial" w:cs="Arial"/>
        </w:rPr>
        <w:t>8th</w:t>
      </w:r>
      <w:r>
        <w:rPr>
          <w:rFonts w:ascii="Arial" w:hAnsi="Arial" w:cs="Arial"/>
        </w:rPr>
        <w:t xml:space="preserve"> January 2019  </w:t>
      </w:r>
      <w:r w:rsidRPr="00CB6A53">
        <w:rPr>
          <w:rFonts w:ascii="Arial" w:hAnsi="Arial" w:cs="Arial"/>
        </w:rPr>
        <w:t xml:space="preserve">  </w:t>
      </w:r>
    </w:p>
    <w:p w14:paraId="3321D4AE" w14:textId="77777777" w:rsidR="008D08CB" w:rsidRPr="00CB6A53" w:rsidRDefault="008D08CB" w:rsidP="008D08CB">
      <w:pPr>
        <w:rPr>
          <w:rFonts w:ascii="Arial" w:hAnsi="Arial" w:cs="Arial"/>
        </w:rPr>
      </w:pPr>
    </w:p>
    <w:p w14:paraId="1AB7133A" w14:textId="77777777" w:rsidR="00246146" w:rsidRDefault="00246146"/>
    <w:p w14:paraId="008514A0" w14:textId="77777777" w:rsidR="003447E9" w:rsidRDefault="003447E9"/>
    <w:p w14:paraId="33E8DB3F" w14:textId="2577351E" w:rsidR="008D08CB" w:rsidRPr="008D08CB" w:rsidRDefault="008D08CB">
      <w:pPr>
        <w:rPr>
          <w:rFonts w:ascii="Arial" w:hAnsi="Arial" w:cs="Arial"/>
          <w:b/>
        </w:rPr>
      </w:pPr>
      <w:r>
        <w:rPr>
          <w:rFonts w:ascii="Arial" w:hAnsi="Arial" w:cs="Arial"/>
          <w:b/>
        </w:rPr>
        <w:t>1.0</w:t>
      </w:r>
      <w:r>
        <w:rPr>
          <w:rFonts w:ascii="Arial" w:hAnsi="Arial" w:cs="Arial"/>
          <w:b/>
        </w:rPr>
        <w:tab/>
      </w:r>
      <w:r w:rsidR="003447E9" w:rsidRPr="008D08CB">
        <w:rPr>
          <w:rFonts w:ascii="Arial" w:hAnsi="Arial" w:cs="Arial"/>
          <w:b/>
        </w:rPr>
        <w:t>P</w:t>
      </w:r>
      <w:r>
        <w:rPr>
          <w:rFonts w:ascii="Arial" w:hAnsi="Arial" w:cs="Arial"/>
          <w:b/>
        </w:rPr>
        <w:t>urpose of report</w:t>
      </w:r>
      <w:r w:rsidR="003447E9" w:rsidRPr="008D08CB">
        <w:rPr>
          <w:rFonts w:ascii="Arial" w:hAnsi="Arial" w:cs="Arial"/>
          <w:b/>
        </w:rPr>
        <w:t xml:space="preserve">: </w:t>
      </w:r>
    </w:p>
    <w:p w14:paraId="51590AE6" w14:textId="77777777" w:rsidR="008D08CB" w:rsidRDefault="008D08CB">
      <w:pPr>
        <w:rPr>
          <w:rFonts w:ascii="Arial" w:hAnsi="Arial" w:cs="Arial"/>
        </w:rPr>
      </w:pPr>
    </w:p>
    <w:p w14:paraId="10706EC3" w14:textId="096ED3E7" w:rsidR="003447E9" w:rsidRDefault="008D08CB">
      <w:pPr>
        <w:rPr>
          <w:rFonts w:ascii="Arial" w:hAnsi="Arial" w:cs="Arial"/>
        </w:rPr>
      </w:pPr>
      <w:r>
        <w:rPr>
          <w:rFonts w:ascii="Arial" w:hAnsi="Arial" w:cs="Arial"/>
        </w:rPr>
        <w:t>1.1</w:t>
      </w:r>
      <w:r>
        <w:rPr>
          <w:rFonts w:ascii="Arial" w:hAnsi="Arial" w:cs="Arial"/>
        </w:rPr>
        <w:tab/>
      </w:r>
      <w:r w:rsidR="003447E9" w:rsidRPr="003447E9">
        <w:rPr>
          <w:rFonts w:ascii="Arial" w:hAnsi="Arial" w:cs="Arial"/>
        </w:rPr>
        <w:t>This report:</w:t>
      </w:r>
    </w:p>
    <w:p w14:paraId="1F575362" w14:textId="77777777" w:rsidR="008D08CB" w:rsidRPr="003447E9" w:rsidRDefault="008D08CB">
      <w:pPr>
        <w:rPr>
          <w:rFonts w:ascii="Arial" w:hAnsi="Arial" w:cs="Arial"/>
        </w:rPr>
      </w:pPr>
    </w:p>
    <w:p w14:paraId="7DFBEE0C" w14:textId="26318BD4" w:rsidR="00C42A6E" w:rsidRPr="00025E3B" w:rsidRDefault="008D08CB" w:rsidP="007A585D">
      <w:pPr>
        <w:pStyle w:val="ListParagraph"/>
        <w:numPr>
          <w:ilvl w:val="0"/>
          <w:numId w:val="15"/>
        </w:numPr>
        <w:rPr>
          <w:rFonts w:ascii="Arial" w:hAnsi="Arial" w:cs="Arial"/>
          <w:color w:val="252525"/>
          <w:lang w:eastAsia="en-GB"/>
        </w:rPr>
      </w:pPr>
      <w:r>
        <w:rPr>
          <w:rFonts w:ascii="Arial" w:hAnsi="Arial" w:cs="Arial"/>
          <w:color w:val="252525"/>
          <w:lang w:eastAsia="en-GB"/>
        </w:rPr>
        <w:t xml:space="preserve">reviews </w:t>
      </w:r>
      <w:r w:rsidR="00C42A6E" w:rsidRPr="00025E3B">
        <w:rPr>
          <w:rFonts w:ascii="Arial" w:hAnsi="Arial" w:cs="Arial"/>
          <w:color w:val="252525"/>
          <w:lang w:eastAsia="en-GB"/>
        </w:rPr>
        <w:t xml:space="preserve">the </w:t>
      </w:r>
      <w:r w:rsidR="00DF19A8">
        <w:rPr>
          <w:rFonts w:ascii="Arial" w:hAnsi="Arial" w:cs="Arial"/>
          <w:color w:val="252525"/>
          <w:lang w:eastAsia="en-GB"/>
        </w:rPr>
        <w:t xml:space="preserve">preliminary </w:t>
      </w:r>
      <w:r w:rsidR="00C42A6E" w:rsidRPr="00025E3B">
        <w:rPr>
          <w:rFonts w:ascii="Arial" w:hAnsi="Arial" w:cs="Arial"/>
          <w:color w:val="252525"/>
          <w:lang w:eastAsia="en-GB"/>
        </w:rPr>
        <w:t>ruling of the C</w:t>
      </w:r>
      <w:r w:rsidR="006252B5">
        <w:rPr>
          <w:rFonts w:ascii="Arial" w:hAnsi="Arial" w:cs="Arial"/>
          <w:color w:val="252525"/>
          <w:lang w:eastAsia="en-GB"/>
        </w:rPr>
        <w:t>ourt of European Justice (CJEU) o</w:t>
      </w:r>
      <w:r w:rsidR="00C42A6E" w:rsidRPr="00025E3B">
        <w:rPr>
          <w:rFonts w:ascii="Arial" w:hAnsi="Arial" w:cs="Arial"/>
          <w:color w:val="252525"/>
          <w:lang w:eastAsia="en-GB"/>
        </w:rPr>
        <w:t xml:space="preserve">n a reference </w:t>
      </w:r>
      <w:r w:rsidR="000249D9">
        <w:rPr>
          <w:rFonts w:ascii="Arial" w:hAnsi="Arial" w:cs="Arial"/>
          <w:color w:val="252525"/>
          <w:lang w:eastAsia="en-GB"/>
        </w:rPr>
        <w:t xml:space="preserve">(originating from </w:t>
      </w:r>
      <w:r w:rsidR="00C42A6E" w:rsidRPr="00025E3B">
        <w:rPr>
          <w:rFonts w:ascii="Arial" w:hAnsi="Arial" w:cs="Arial"/>
          <w:color w:val="252525"/>
          <w:lang w:eastAsia="en-GB"/>
        </w:rPr>
        <w:t>the Scottish Court of Sessions</w:t>
      </w:r>
      <w:r w:rsidR="000249D9">
        <w:rPr>
          <w:rFonts w:ascii="Arial" w:hAnsi="Arial" w:cs="Arial"/>
          <w:color w:val="252525"/>
          <w:lang w:eastAsia="en-GB"/>
        </w:rPr>
        <w:t>)</w:t>
      </w:r>
      <w:r w:rsidR="00C42A6E" w:rsidRPr="00025E3B">
        <w:rPr>
          <w:rFonts w:ascii="Arial" w:hAnsi="Arial" w:cs="Arial"/>
          <w:color w:val="252525"/>
          <w:lang w:eastAsia="en-GB"/>
        </w:rPr>
        <w:t xml:space="preserve"> finding that a Member State may unilaterally revoke an Article 50 </w:t>
      </w:r>
      <w:r w:rsidR="00025E3B" w:rsidRPr="00025E3B">
        <w:rPr>
          <w:rFonts w:ascii="Arial" w:hAnsi="Arial" w:cs="Arial"/>
        </w:rPr>
        <w:t>notice to withdraw from the EU</w:t>
      </w:r>
      <w:r w:rsidR="006252B5">
        <w:rPr>
          <w:rFonts w:ascii="Arial" w:hAnsi="Arial" w:cs="Arial"/>
        </w:rPr>
        <w:t>,</w:t>
      </w:r>
      <w:r w:rsidR="00025E3B" w:rsidRPr="00025E3B">
        <w:rPr>
          <w:rFonts w:ascii="Arial" w:hAnsi="Arial" w:cs="Arial"/>
        </w:rPr>
        <w:t xml:space="preserve"> prior to its expiry;</w:t>
      </w:r>
    </w:p>
    <w:p w14:paraId="0F7EB392" w14:textId="0B73D1FB" w:rsidR="008D08CB" w:rsidRPr="008D08CB" w:rsidRDefault="008D08CB" w:rsidP="007A585D">
      <w:pPr>
        <w:pStyle w:val="ListParagraph"/>
        <w:numPr>
          <w:ilvl w:val="0"/>
          <w:numId w:val="15"/>
        </w:numPr>
        <w:rPr>
          <w:rFonts w:ascii="Arial" w:hAnsi="Arial" w:cs="Arial"/>
          <w:color w:val="252525"/>
          <w:lang w:eastAsia="en-GB"/>
        </w:rPr>
      </w:pPr>
      <w:r>
        <w:rPr>
          <w:rFonts w:ascii="Arial" w:hAnsi="Arial" w:cs="Arial"/>
        </w:rPr>
        <w:t xml:space="preserve">explains the general data protection implications of the UK leaving with EU with an agreed Withdrawal Agreement or on the basis of </w:t>
      </w:r>
      <w:r w:rsidR="00F6304B">
        <w:rPr>
          <w:rFonts w:ascii="Arial" w:hAnsi="Arial" w:cs="Arial"/>
        </w:rPr>
        <w:t>‘</w:t>
      </w:r>
      <w:r>
        <w:rPr>
          <w:rFonts w:ascii="Arial" w:hAnsi="Arial" w:cs="Arial"/>
        </w:rPr>
        <w:t>no deal</w:t>
      </w:r>
      <w:r w:rsidR="00F6304B">
        <w:rPr>
          <w:rFonts w:ascii="Arial" w:hAnsi="Arial" w:cs="Arial"/>
        </w:rPr>
        <w:t>’ scenario</w:t>
      </w:r>
      <w:r>
        <w:rPr>
          <w:rFonts w:ascii="Arial" w:hAnsi="Arial" w:cs="Arial"/>
        </w:rPr>
        <w:t>;</w:t>
      </w:r>
    </w:p>
    <w:p w14:paraId="7A4138DC" w14:textId="010D15E3" w:rsidR="003447E9" w:rsidRPr="00025E3B" w:rsidRDefault="008D08CB" w:rsidP="007A585D">
      <w:pPr>
        <w:pStyle w:val="ListParagraph"/>
        <w:numPr>
          <w:ilvl w:val="0"/>
          <w:numId w:val="15"/>
        </w:numPr>
        <w:rPr>
          <w:rFonts w:ascii="Arial" w:hAnsi="Arial" w:cs="Arial"/>
          <w:color w:val="252525"/>
          <w:lang w:eastAsia="en-GB"/>
        </w:rPr>
      </w:pPr>
      <w:r>
        <w:rPr>
          <w:rFonts w:ascii="Arial" w:hAnsi="Arial" w:cs="Arial"/>
        </w:rPr>
        <w:t xml:space="preserve">reviews the </w:t>
      </w:r>
      <w:r w:rsidR="003447E9" w:rsidRPr="00025E3B">
        <w:rPr>
          <w:rFonts w:ascii="Arial" w:hAnsi="Arial" w:cs="Arial"/>
        </w:rPr>
        <w:t xml:space="preserve">guidance recently </w:t>
      </w:r>
      <w:r w:rsidR="00AD79FA" w:rsidRPr="00025E3B">
        <w:rPr>
          <w:rFonts w:ascii="Arial" w:hAnsi="Arial" w:cs="Arial"/>
        </w:rPr>
        <w:t xml:space="preserve">issued </w:t>
      </w:r>
      <w:r w:rsidR="003447E9" w:rsidRPr="00025E3B">
        <w:rPr>
          <w:rFonts w:ascii="Arial" w:hAnsi="Arial" w:cs="Arial"/>
        </w:rPr>
        <w:t>by the DCMS and the Information Commissioner</w:t>
      </w:r>
      <w:r w:rsidR="00AD79FA" w:rsidRPr="00025E3B">
        <w:rPr>
          <w:rFonts w:ascii="Arial" w:hAnsi="Arial" w:cs="Arial"/>
        </w:rPr>
        <w:t xml:space="preserve"> explaining </w:t>
      </w:r>
      <w:r w:rsidR="003447E9" w:rsidRPr="00025E3B">
        <w:rPr>
          <w:rFonts w:ascii="Arial" w:hAnsi="Arial" w:cs="Arial"/>
        </w:rPr>
        <w:t xml:space="preserve">the </w:t>
      </w:r>
      <w:r w:rsidR="003447E9" w:rsidRPr="00025E3B">
        <w:rPr>
          <w:rFonts w:ascii="Arial" w:hAnsi="Arial" w:cs="Arial"/>
          <w:color w:val="252525"/>
          <w:lang w:eastAsia="en-GB"/>
        </w:rPr>
        <w:t>impact that a no-deal Brexit scenario will have</w:t>
      </w:r>
      <w:r>
        <w:rPr>
          <w:rFonts w:ascii="Arial" w:hAnsi="Arial" w:cs="Arial"/>
          <w:color w:val="252525"/>
          <w:lang w:eastAsia="en-GB"/>
        </w:rPr>
        <w:t xml:space="preserve">, </w:t>
      </w:r>
      <w:r w:rsidR="00AD79FA" w:rsidRPr="00025E3B">
        <w:rPr>
          <w:rFonts w:ascii="Arial" w:hAnsi="Arial" w:cs="Arial"/>
          <w:color w:val="252525"/>
          <w:lang w:eastAsia="en-GB"/>
        </w:rPr>
        <w:t>including s</w:t>
      </w:r>
      <w:r w:rsidR="003447E9" w:rsidRPr="00025E3B">
        <w:rPr>
          <w:rFonts w:ascii="Arial" w:hAnsi="Arial" w:cs="Arial"/>
          <w:color w:val="252525"/>
          <w:lang w:eastAsia="en-GB"/>
        </w:rPr>
        <w:t>teps that organisations can take to prepare for that possibility;</w:t>
      </w:r>
    </w:p>
    <w:p w14:paraId="693D98B0" w14:textId="3A13461B" w:rsidR="008D08CB" w:rsidRDefault="008D08CB" w:rsidP="007A585D">
      <w:pPr>
        <w:pStyle w:val="ListParagraph"/>
        <w:numPr>
          <w:ilvl w:val="0"/>
          <w:numId w:val="15"/>
        </w:numPr>
        <w:rPr>
          <w:rFonts w:ascii="Arial" w:hAnsi="Arial" w:cs="Arial"/>
        </w:rPr>
      </w:pPr>
      <w:r>
        <w:rPr>
          <w:rFonts w:ascii="Arial" w:hAnsi="Arial" w:cs="Arial"/>
          <w:color w:val="252525"/>
          <w:lang w:eastAsia="en-GB"/>
        </w:rPr>
        <w:t xml:space="preserve">provides an overview of the </w:t>
      </w:r>
      <w:r w:rsidR="003447E9" w:rsidRPr="000249D9">
        <w:rPr>
          <w:rFonts w:ascii="Arial" w:hAnsi="Arial" w:cs="Arial"/>
          <w:color w:val="252525"/>
          <w:lang w:eastAsia="en-GB"/>
        </w:rPr>
        <w:t xml:space="preserve">contingency </w:t>
      </w:r>
      <w:r w:rsidR="003447E9" w:rsidRPr="000249D9">
        <w:rPr>
          <w:rFonts w:ascii="Arial" w:hAnsi="Arial" w:cs="Arial"/>
        </w:rPr>
        <w:t>legislation the Government has laid before Parliament</w:t>
      </w:r>
      <w:r>
        <w:rPr>
          <w:rFonts w:ascii="Arial" w:hAnsi="Arial" w:cs="Arial"/>
        </w:rPr>
        <w:t xml:space="preserve"> which will create a</w:t>
      </w:r>
      <w:r w:rsidR="00BF2F3C" w:rsidRPr="000249D9">
        <w:rPr>
          <w:rFonts w:ascii="Arial" w:hAnsi="Arial" w:cs="Arial"/>
        </w:rPr>
        <w:t xml:space="preserve"> </w:t>
      </w:r>
      <w:r w:rsidR="00F6304B">
        <w:rPr>
          <w:rFonts w:ascii="Arial" w:hAnsi="Arial" w:cs="Arial"/>
        </w:rPr>
        <w:t xml:space="preserve">new </w:t>
      </w:r>
      <w:r>
        <w:rPr>
          <w:rFonts w:ascii="Arial" w:hAnsi="Arial" w:cs="Arial"/>
        </w:rPr>
        <w:t xml:space="preserve">version of the </w:t>
      </w:r>
      <w:r w:rsidR="00F6304B">
        <w:rPr>
          <w:rFonts w:ascii="Arial" w:hAnsi="Arial" w:cs="Arial"/>
        </w:rPr>
        <w:t>G</w:t>
      </w:r>
      <w:r>
        <w:rPr>
          <w:rFonts w:ascii="Arial" w:hAnsi="Arial" w:cs="Arial"/>
        </w:rPr>
        <w:t xml:space="preserve">DPR in UK law </w:t>
      </w:r>
      <w:r w:rsidR="00F6304B">
        <w:rPr>
          <w:rFonts w:ascii="Arial" w:hAnsi="Arial" w:cs="Arial"/>
        </w:rPr>
        <w:t xml:space="preserve">(to be known as the ‘UK GDPR’) </w:t>
      </w:r>
      <w:r>
        <w:rPr>
          <w:rFonts w:ascii="Arial" w:hAnsi="Arial" w:cs="Arial"/>
        </w:rPr>
        <w:t>i</w:t>
      </w:r>
      <w:r w:rsidR="003447E9" w:rsidRPr="000249D9">
        <w:rPr>
          <w:rFonts w:ascii="Arial" w:hAnsi="Arial" w:cs="Arial"/>
        </w:rPr>
        <w:t>n th</w:t>
      </w:r>
      <w:r w:rsidR="00BF2F3C" w:rsidRPr="000249D9">
        <w:rPr>
          <w:rFonts w:ascii="Arial" w:hAnsi="Arial" w:cs="Arial"/>
        </w:rPr>
        <w:t>e</w:t>
      </w:r>
      <w:r w:rsidR="003447E9" w:rsidRPr="000249D9">
        <w:rPr>
          <w:rFonts w:ascii="Arial" w:hAnsi="Arial" w:cs="Arial"/>
        </w:rPr>
        <w:t xml:space="preserve"> event </w:t>
      </w:r>
      <w:r w:rsidR="00AD79FA" w:rsidRPr="000249D9">
        <w:rPr>
          <w:rFonts w:ascii="Arial" w:hAnsi="Arial" w:cs="Arial"/>
        </w:rPr>
        <w:t xml:space="preserve">that </w:t>
      </w:r>
      <w:r w:rsidR="003447E9" w:rsidRPr="000249D9">
        <w:rPr>
          <w:rFonts w:ascii="Arial" w:hAnsi="Arial" w:cs="Arial"/>
        </w:rPr>
        <w:t xml:space="preserve">‘no deal’ </w:t>
      </w:r>
      <w:r w:rsidR="00AD79FA" w:rsidRPr="000249D9">
        <w:rPr>
          <w:rFonts w:ascii="Arial" w:hAnsi="Arial" w:cs="Arial"/>
        </w:rPr>
        <w:t>is the basis for the UK’s departure from</w:t>
      </w:r>
      <w:r w:rsidR="003447E9" w:rsidRPr="000249D9">
        <w:rPr>
          <w:rFonts w:ascii="Arial" w:hAnsi="Arial" w:cs="Arial"/>
        </w:rPr>
        <w:t xml:space="preserve"> </w:t>
      </w:r>
      <w:r w:rsidR="00AD79FA" w:rsidRPr="000249D9">
        <w:rPr>
          <w:rFonts w:ascii="Arial" w:hAnsi="Arial" w:cs="Arial"/>
        </w:rPr>
        <w:t>the EU on 29</w:t>
      </w:r>
      <w:r w:rsidR="003447E9" w:rsidRPr="000249D9">
        <w:rPr>
          <w:rFonts w:ascii="Arial" w:hAnsi="Arial" w:cs="Arial"/>
          <w:vertAlign w:val="superscript"/>
        </w:rPr>
        <w:t>th</w:t>
      </w:r>
      <w:r w:rsidR="003447E9" w:rsidRPr="000249D9">
        <w:rPr>
          <w:rFonts w:ascii="Arial" w:hAnsi="Arial" w:cs="Arial"/>
        </w:rPr>
        <w:t xml:space="preserve"> March 2019</w:t>
      </w:r>
      <w:r w:rsidR="002C016F">
        <w:rPr>
          <w:rFonts w:ascii="Arial" w:hAnsi="Arial" w:cs="Arial"/>
        </w:rPr>
        <w:t>;</w:t>
      </w:r>
    </w:p>
    <w:p w14:paraId="47C30B5D" w14:textId="176A1FB4" w:rsidR="003447E9" w:rsidRPr="000249D9" w:rsidRDefault="008D08CB" w:rsidP="007A585D">
      <w:pPr>
        <w:pStyle w:val="ListParagraph"/>
        <w:numPr>
          <w:ilvl w:val="0"/>
          <w:numId w:val="15"/>
        </w:numPr>
        <w:rPr>
          <w:rFonts w:ascii="Arial" w:hAnsi="Arial" w:cs="Arial"/>
        </w:rPr>
      </w:pPr>
      <w:r>
        <w:rPr>
          <w:rFonts w:ascii="Arial" w:hAnsi="Arial" w:cs="Arial"/>
          <w:color w:val="252525"/>
          <w:lang w:eastAsia="en-GB"/>
        </w:rPr>
        <w:t xml:space="preserve">identifies minimum measures that Councils need to urgently take to identify data flows with both EU </w:t>
      </w:r>
      <w:r w:rsidR="002C016F">
        <w:rPr>
          <w:rFonts w:ascii="Arial" w:hAnsi="Arial" w:cs="Arial"/>
          <w:color w:val="252525"/>
          <w:lang w:eastAsia="en-GB"/>
        </w:rPr>
        <w:t>Member S</w:t>
      </w:r>
      <w:r>
        <w:rPr>
          <w:rFonts w:ascii="Arial" w:hAnsi="Arial" w:cs="Arial"/>
          <w:color w:val="252525"/>
          <w:lang w:eastAsia="en-GB"/>
        </w:rPr>
        <w:t xml:space="preserve">tates and with other countries </w:t>
      </w:r>
      <w:r w:rsidR="00CF565D">
        <w:rPr>
          <w:rFonts w:ascii="Arial" w:hAnsi="Arial" w:cs="Arial"/>
          <w:color w:val="252525"/>
          <w:lang w:eastAsia="en-GB"/>
        </w:rPr>
        <w:t xml:space="preserve">and </w:t>
      </w:r>
      <w:r w:rsidR="00F6304B">
        <w:rPr>
          <w:rFonts w:ascii="Arial" w:hAnsi="Arial" w:cs="Arial"/>
          <w:color w:val="252525"/>
          <w:lang w:eastAsia="en-GB"/>
        </w:rPr>
        <w:t xml:space="preserve">to </w:t>
      </w:r>
      <w:r w:rsidR="00CF565D">
        <w:rPr>
          <w:rFonts w:ascii="Arial" w:hAnsi="Arial" w:cs="Arial"/>
          <w:color w:val="252525"/>
          <w:lang w:eastAsia="en-GB"/>
        </w:rPr>
        <w:t xml:space="preserve">update privacy documentation/guidance </w:t>
      </w:r>
      <w:r w:rsidR="003447E9" w:rsidRPr="000249D9">
        <w:rPr>
          <w:rFonts w:ascii="Arial" w:hAnsi="Arial" w:cs="Arial"/>
        </w:rPr>
        <w:t>.</w:t>
      </w:r>
    </w:p>
    <w:p w14:paraId="0C74F6ED" w14:textId="25F7DF87" w:rsidR="003447E9" w:rsidRPr="00EA1CA7" w:rsidRDefault="003447E9">
      <w:pPr>
        <w:rPr>
          <w:rFonts w:ascii="Arial" w:hAnsi="Arial" w:cs="Arial"/>
        </w:rPr>
      </w:pPr>
    </w:p>
    <w:p w14:paraId="2D81A728" w14:textId="77777777" w:rsidR="003447E9" w:rsidRPr="00EA1CA7" w:rsidRDefault="003447E9" w:rsidP="003447E9">
      <w:pPr>
        <w:shd w:val="clear" w:color="auto" w:fill="FFFFFF"/>
        <w:rPr>
          <w:rFonts w:ascii="Arial" w:hAnsi="Arial" w:cs="Arial"/>
          <w:color w:val="222222"/>
          <w:lang w:eastAsia="en-GB"/>
        </w:rPr>
      </w:pPr>
    </w:p>
    <w:p w14:paraId="75B2212F" w14:textId="021A9710" w:rsidR="00F202B1" w:rsidRDefault="00CF565D" w:rsidP="00CF565D">
      <w:pPr>
        <w:pStyle w:val="Heading2"/>
        <w:ind w:left="720" w:hanging="720"/>
        <w:rPr>
          <w:i w:val="0"/>
          <w:sz w:val="24"/>
          <w:szCs w:val="24"/>
        </w:rPr>
      </w:pPr>
      <w:r>
        <w:rPr>
          <w:i w:val="0"/>
          <w:sz w:val="24"/>
          <w:szCs w:val="24"/>
        </w:rPr>
        <w:t>2.0</w:t>
      </w:r>
      <w:r>
        <w:rPr>
          <w:i w:val="0"/>
          <w:sz w:val="24"/>
          <w:szCs w:val="24"/>
        </w:rPr>
        <w:tab/>
      </w:r>
      <w:r w:rsidR="00F202B1">
        <w:rPr>
          <w:i w:val="0"/>
          <w:sz w:val="24"/>
          <w:szCs w:val="24"/>
        </w:rPr>
        <w:t xml:space="preserve">Court of Justice of European Union (CJEU) </w:t>
      </w:r>
      <w:r w:rsidR="00E07117">
        <w:rPr>
          <w:i w:val="0"/>
          <w:sz w:val="24"/>
          <w:szCs w:val="24"/>
        </w:rPr>
        <w:t>preliminary ruling finds t</w:t>
      </w:r>
      <w:r w:rsidR="00F202B1">
        <w:rPr>
          <w:i w:val="0"/>
          <w:sz w:val="24"/>
          <w:szCs w:val="24"/>
        </w:rPr>
        <w:t xml:space="preserve">hat Member State may </w:t>
      </w:r>
      <w:r w:rsidR="00C32337">
        <w:rPr>
          <w:i w:val="0"/>
          <w:sz w:val="24"/>
          <w:szCs w:val="24"/>
        </w:rPr>
        <w:t xml:space="preserve">unilaterally </w:t>
      </w:r>
      <w:r w:rsidR="00F202B1">
        <w:rPr>
          <w:i w:val="0"/>
          <w:sz w:val="24"/>
          <w:szCs w:val="24"/>
        </w:rPr>
        <w:t xml:space="preserve">revoke Article 50 </w:t>
      </w:r>
      <w:r w:rsidR="00B10E4C">
        <w:rPr>
          <w:i w:val="0"/>
          <w:sz w:val="24"/>
          <w:szCs w:val="24"/>
        </w:rPr>
        <w:t>notice</w:t>
      </w:r>
      <w:r w:rsidR="00E07117">
        <w:rPr>
          <w:rStyle w:val="FootnoteReference"/>
          <w:i w:val="0"/>
          <w:sz w:val="24"/>
          <w:szCs w:val="24"/>
        </w:rPr>
        <w:footnoteReference w:id="1"/>
      </w:r>
      <w:r w:rsidR="00F202B1">
        <w:rPr>
          <w:i w:val="0"/>
          <w:sz w:val="24"/>
          <w:szCs w:val="24"/>
        </w:rPr>
        <w:t xml:space="preserve">   </w:t>
      </w:r>
      <w:r w:rsidR="00F202B1" w:rsidRPr="007C03E3">
        <w:rPr>
          <w:i w:val="0"/>
          <w:sz w:val="24"/>
          <w:szCs w:val="24"/>
        </w:rPr>
        <w:t xml:space="preserve"> </w:t>
      </w:r>
    </w:p>
    <w:p w14:paraId="0DC2A84A" w14:textId="10181730" w:rsidR="00F202B1" w:rsidRDefault="00F202B1" w:rsidP="00F202B1">
      <w:pPr>
        <w:shd w:val="clear" w:color="auto" w:fill="FFFFFF"/>
        <w:rPr>
          <w:rFonts w:ascii="Arial" w:hAnsi="Arial" w:cs="Arial"/>
          <w:color w:val="222222"/>
          <w:lang w:eastAsia="en-GB"/>
        </w:rPr>
      </w:pPr>
    </w:p>
    <w:p w14:paraId="46122D2B" w14:textId="5121E48D" w:rsidR="0072177A" w:rsidRPr="00E91577" w:rsidRDefault="00CF565D" w:rsidP="00B10E4C">
      <w:pPr>
        <w:shd w:val="clear" w:color="auto" w:fill="FFFFFF"/>
        <w:rPr>
          <w:rFonts w:ascii="Arial" w:hAnsi="Arial" w:cs="Arial"/>
          <w:color w:val="222222"/>
          <w:lang w:eastAsia="en-GB"/>
        </w:rPr>
      </w:pPr>
      <w:r>
        <w:rPr>
          <w:rFonts w:ascii="Arial" w:hAnsi="Arial" w:cs="Arial"/>
          <w:color w:val="222222"/>
          <w:lang w:eastAsia="en-GB"/>
        </w:rPr>
        <w:t>2.1</w:t>
      </w:r>
      <w:r>
        <w:rPr>
          <w:rFonts w:ascii="Arial" w:hAnsi="Arial" w:cs="Arial"/>
          <w:color w:val="222222"/>
          <w:lang w:eastAsia="en-GB"/>
        </w:rPr>
        <w:tab/>
      </w:r>
      <w:r w:rsidR="00334B38" w:rsidRPr="00E91577">
        <w:rPr>
          <w:rFonts w:ascii="Arial" w:hAnsi="Arial" w:cs="Arial"/>
          <w:color w:val="222222"/>
          <w:lang w:eastAsia="en-GB"/>
        </w:rPr>
        <w:t xml:space="preserve">The CJEU was asked </w:t>
      </w:r>
      <w:r w:rsidR="00914DFD" w:rsidRPr="00E91577">
        <w:rPr>
          <w:rFonts w:ascii="Arial" w:hAnsi="Arial" w:cs="Arial"/>
          <w:color w:val="222222"/>
          <w:lang w:eastAsia="en-GB"/>
        </w:rPr>
        <w:t xml:space="preserve">for a </w:t>
      </w:r>
      <w:r w:rsidR="00334B38" w:rsidRPr="00E91577">
        <w:rPr>
          <w:rFonts w:ascii="Arial" w:hAnsi="Arial" w:cs="Arial"/>
          <w:color w:val="222222"/>
          <w:lang w:eastAsia="en-GB"/>
        </w:rPr>
        <w:t xml:space="preserve">preliminary ruling </w:t>
      </w:r>
      <w:r w:rsidR="0072177A" w:rsidRPr="00E91577">
        <w:rPr>
          <w:rFonts w:ascii="Arial" w:hAnsi="Arial" w:cs="Arial"/>
          <w:color w:val="222222"/>
          <w:lang w:eastAsia="en-GB"/>
        </w:rPr>
        <w:t>on the following question:</w:t>
      </w:r>
    </w:p>
    <w:p w14:paraId="51A42A52" w14:textId="77777777" w:rsidR="0072177A" w:rsidRPr="00E91577" w:rsidRDefault="0072177A" w:rsidP="00B10E4C">
      <w:pPr>
        <w:shd w:val="clear" w:color="auto" w:fill="FFFFFF"/>
        <w:rPr>
          <w:rFonts w:ascii="Arial" w:hAnsi="Arial" w:cs="Arial"/>
          <w:color w:val="222222"/>
          <w:lang w:eastAsia="en-GB"/>
        </w:rPr>
      </w:pPr>
    </w:p>
    <w:p w14:paraId="21F878E3" w14:textId="0B712BF0" w:rsidR="0072177A" w:rsidRPr="00E91577" w:rsidRDefault="0072177A" w:rsidP="00CF565D">
      <w:pPr>
        <w:ind w:left="1440"/>
        <w:rPr>
          <w:rFonts w:ascii="Arial" w:hAnsi="Arial" w:cs="Arial"/>
          <w:i/>
        </w:rPr>
      </w:pPr>
      <w:r w:rsidRPr="00E91577">
        <w:rPr>
          <w:rFonts w:ascii="Arial" w:hAnsi="Arial" w:cs="Arial"/>
          <w:i/>
        </w:rPr>
        <w:lastRenderedPageBreak/>
        <w:t>‘Where, in accordance with Article 50 TEU, a Member State has notified the European Council of its intention to withdraw from the European Union, does EU law permit that notice to be revoked unilaterally by the notifying Member State; and, if so, subject to what conditions and with what effect relative to the Member State remaining within the European Union?’</w:t>
      </w:r>
    </w:p>
    <w:p w14:paraId="65CC5A43" w14:textId="49B365F5" w:rsidR="00334B38" w:rsidRPr="00E91577" w:rsidRDefault="0072177A" w:rsidP="00B10E4C">
      <w:pPr>
        <w:shd w:val="clear" w:color="auto" w:fill="FFFFFF"/>
        <w:rPr>
          <w:rFonts w:ascii="Arial" w:hAnsi="Arial" w:cs="Arial"/>
          <w:color w:val="222222"/>
          <w:lang w:eastAsia="en-GB"/>
        </w:rPr>
      </w:pPr>
      <w:r w:rsidRPr="00E91577">
        <w:rPr>
          <w:rFonts w:ascii="Arial" w:hAnsi="Arial" w:cs="Arial"/>
          <w:color w:val="222222"/>
          <w:lang w:eastAsia="en-GB"/>
        </w:rPr>
        <w:t xml:space="preserve"> </w:t>
      </w:r>
    </w:p>
    <w:p w14:paraId="420D4E44" w14:textId="27A04FD5" w:rsidR="0072177A" w:rsidRPr="00E91577" w:rsidRDefault="00CF565D" w:rsidP="00CF565D">
      <w:pPr>
        <w:shd w:val="clear" w:color="auto" w:fill="FFFFFF"/>
        <w:ind w:left="720" w:hanging="720"/>
        <w:rPr>
          <w:rFonts w:ascii="Arial" w:hAnsi="Arial" w:cs="Arial"/>
        </w:rPr>
      </w:pPr>
      <w:r>
        <w:rPr>
          <w:rFonts w:ascii="Arial" w:hAnsi="Arial" w:cs="Arial"/>
        </w:rPr>
        <w:t>2.2</w:t>
      </w:r>
      <w:r>
        <w:rPr>
          <w:rFonts w:ascii="Arial" w:hAnsi="Arial" w:cs="Arial"/>
        </w:rPr>
        <w:tab/>
      </w:r>
      <w:r w:rsidR="00F6304B">
        <w:rPr>
          <w:rFonts w:ascii="Arial" w:hAnsi="Arial" w:cs="Arial"/>
        </w:rPr>
        <w:t>Both t</w:t>
      </w:r>
      <w:r w:rsidR="0072177A" w:rsidRPr="00E91577">
        <w:rPr>
          <w:rFonts w:ascii="Arial" w:hAnsi="Arial" w:cs="Arial"/>
        </w:rPr>
        <w:t xml:space="preserve">he UK Government and the lawyers for the </w:t>
      </w:r>
      <w:r w:rsidR="00EA1CA7">
        <w:rPr>
          <w:rFonts w:ascii="Arial" w:hAnsi="Arial" w:cs="Arial"/>
        </w:rPr>
        <w:t xml:space="preserve">European </w:t>
      </w:r>
      <w:r w:rsidR="0072177A" w:rsidRPr="00E91577">
        <w:rPr>
          <w:rFonts w:ascii="Arial" w:hAnsi="Arial" w:cs="Arial"/>
        </w:rPr>
        <w:t xml:space="preserve">Council and Commission argued against </w:t>
      </w:r>
      <w:r w:rsidR="000249D9">
        <w:rPr>
          <w:rFonts w:ascii="Arial" w:hAnsi="Arial" w:cs="Arial"/>
        </w:rPr>
        <w:t>th</w:t>
      </w:r>
      <w:r w:rsidR="002C016F">
        <w:rPr>
          <w:rFonts w:ascii="Arial" w:hAnsi="Arial" w:cs="Arial"/>
        </w:rPr>
        <w:t xml:space="preserve">e </w:t>
      </w:r>
      <w:r w:rsidR="000249D9">
        <w:rPr>
          <w:rFonts w:ascii="Arial" w:hAnsi="Arial" w:cs="Arial"/>
        </w:rPr>
        <w:t xml:space="preserve">proposition of </w:t>
      </w:r>
      <w:r w:rsidR="002C016F">
        <w:rPr>
          <w:rFonts w:ascii="Arial" w:hAnsi="Arial" w:cs="Arial"/>
        </w:rPr>
        <w:t>uni</w:t>
      </w:r>
      <w:r w:rsidR="000249D9">
        <w:rPr>
          <w:rFonts w:ascii="Arial" w:hAnsi="Arial" w:cs="Arial"/>
        </w:rPr>
        <w:t xml:space="preserve">lateral revocation </w:t>
      </w:r>
      <w:r w:rsidR="002C016F">
        <w:rPr>
          <w:rFonts w:ascii="Arial" w:hAnsi="Arial" w:cs="Arial"/>
        </w:rPr>
        <w:t xml:space="preserve">of notice of withdrawal </w:t>
      </w:r>
      <w:r w:rsidR="0072177A" w:rsidRPr="00E91577">
        <w:rPr>
          <w:rFonts w:ascii="Arial" w:hAnsi="Arial" w:cs="Arial"/>
        </w:rPr>
        <w:t>on different grounds.</w:t>
      </w:r>
    </w:p>
    <w:p w14:paraId="3E77AC81" w14:textId="77777777" w:rsidR="0072177A" w:rsidRPr="00E91577" w:rsidRDefault="0072177A" w:rsidP="0072177A">
      <w:pPr>
        <w:shd w:val="clear" w:color="auto" w:fill="FFFFFF"/>
        <w:rPr>
          <w:rFonts w:ascii="Arial" w:hAnsi="Arial" w:cs="Arial"/>
        </w:rPr>
      </w:pPr>
    </w:p>
    <w:p w14:paraId="3E687AE5" w14:textId="5A4B36F0" w:rsidR="0072177A" w:rsidRPr="00E91577" w:rsidRDefault="00CF565D" w:rsidP="00CF565D">
      <w:pPr>
        <w:shd w:val="clear" w:color="auto" w:fill="FFFFFF"/>
        <w:ind w:left="720" w:hanging="720"/>
        <w:rPr>
          <w:rFonts w:ascii="Arial" w:hAnsi="Arial" w:cs="Arial"/>
        </w:rPr>
      </w:pPr>
      <w:r>
        <w:rPr>
          <w:rFonts w:ascii="Arial" w:hAnsi="Arial" w:cs="Arial"/>
        </w:rPr>
        <w:t>2.3</w:t>
      </w:r>
      <w:r>
        <w:rPr>
          <w:rFonts w:ascii="Arial" w:hAnsi="Arial" w:cs="Arial"/>
        </w:rPr>
        <w:tab/>
      </w:r>
      <w:r w:rsidR="0072177A" w:rsidRPr="00E91577">
        <w:rPr>
          <w:rFonts w:ascii="Arial" w:hAnsi="Arial" w:cs="Arial"/>
        </w:rPr>
        <w:t xml:space="preserve">The UK Government took the positon that the reference </w:t>
      </w:r>
      <w:r w:rsidR="000249D9">
        <w:rPr>
          <w:rFonts w:ascii="Arial" w:hAnsi="Arial" w:cs="Arial"/>
        </w:rPr>
        <w:t xml:space="preserve">to the CJEU </w:t>
      </w:r>
      <w:r w:rsidR="0072177A" w:rsidRPr="00E91577">
        <w:rPr>
          <w:rFonts w:ascii="Arial" w:hAnsi="Arial" w:cs="Arial"/>
        </w:rPr>
        <w:t>ought to be</w:t>
      </w:r>
      <w:r w:rsidR="000249D9">
        <w:rPr>
          <w:rFonts w:ascii="Arial" w:hAnsi="Arial" w:cs="Arial"/>
        </w:rPr>
        <w:t xml:space="preserve"> ruled </w:t>
      </w:r>
      <w:r w:rsidR="0072177A" w:rsidRPr="00E91577">
        <w:rPr>
          <w:rFonts w:ascii="Arial" w:hAnsi="Arial" w:cs="Arial"/>
        </w:rPr>
        <w:t xml:space="preserve">inadmissible as it raised a hypothetical issue given that the policy of the UK Government is not to revoke Article 50. </w:t>
      </w:r>
    </w:p>
    <w:p w14:paraId="6FC1ACE7" w14:textId="4C235573" w:rsidR="000249D9" w:rsidRDefault="00CF565D" w:rsidP="00CF565D">
      <w:pPr>
        <w:pStyle w:val="c01pointnumerotealtn"/>
        <w:ind w:left="720" w:hanging="720"/>
        <w:rPr>
          <w:rFonts w:ascii="Arial" w:hAnsi="Arial" w:cs="Arial"/>
        </w:rPr>
      </w:pPr>
      <w:r>
        <w:rPr>
          <w:rFonts w:ascii="Arial" w:hAnsi="Arial" w:cs="Arial"/>
        </w:rPr>
        <w:t>2.4</w:t>
      </w:r>
      <w:r>
        <w:rPr>
          <w:rFonts w:ascii="Arial" w:hAnsi="Arial" w:cs="Arial"/>
        </w:rPr>
        <w:tab/>
      </w:r>
      <w:r w:rsidR="0072177A" w:rsidRPr="00E91577">
        <w:rPr>
          <w:rFonts w:ascii="Arial" w:hAnsi="Arial" w:cs="Arial"/>
        </w:rPr>
        <w:t xml:space="preserve">The lawyers for the </w:t>
      </w:r>
      <w:r w:rsidR="00EA1CA7">
        <w:rPr>
          <w:rFonts w:ascii="Arial" w:hAnsi="Arial" w:cs="Arial"/>
        </w:rPr>
        <w:t xml:space="preserve">European </w:t>
      </w:r>
      <w:r w:rsidR="0072177A" w:rsidRPr="00E91577">
        <w:rPr>
          <w:rFonts w:ascii="Arial" w:hAnsi="Arial" w:cs="Arial"/>
        </w:rPr>
        <w:t xml:space="preserve">Council and the Commission though willing to accept that notice could be revoked argued </w:t>
      </w:r>
      <w:r w:rsidR="000249D9">
        <w:rPr>
          <w:rFonts w:ascii="Arial" w:hAnsi="Arial" w:cs="Arial"/>
        </w:rPr>
        <w:t xml:space="preserve">that </w:t>
      </w:r>
      <w:r w:rsidR="00914DFD" w:rsidRPr="00E91577">
        <w:rPr>
          <w:rFonts w:ascii="Arial" w:hAnsi="Arial" w:cs="Arial"/>
        </w:rPr>
        <w:t xml:space="preserve">Member States </w:t>
      </w:r>
      <w:r w:rsidR="000249D9">
        <w:rPr>
          <w:rFonts w:ascii="Arial" w:hAnsi="Arial" w:cs="Arial"/>
        </w:rPr>
        <w:t xml:space="preserve">should not have </w:t>
      </w:r>
      <w:r w:rsidR="00914DFD" w:rsidRPr="00E91577">
        <w:rPr>
          <w:rFonts w:ascii="Arial" w:hAnsi="Arial" w:cs="Arial"/>
        </w:rPr>
        <w:t xml:space="preserve">the right to unilaterally withdraw their intention to leave </w:t>
      </w:r>
      <w:r w:rsidR="000249D9">
        <w:rPr>
          <w:rFonts w:ascii="Arial" w:hAnsi="Arial" w:cs="Arial"/>
        </w:rPr>
        <w:t>on the basis that</w:t>
      </w:r>
      <w:r w:rsidR="002C016F">
        <w:rPr>
          <w:rFonts w:ascii="Arial" w:hAnsi="Arial" w:cs="Arial"/>
        </w:rPr>
        <w:t>:</w:t>
      </w:r>
      <w:r w:rsidR="000249D9">
        <w:rPr>
          <w:rFonts w:ascii="Arial" w:hAnsi="Arial" w:cs="Arial"/>
        </w:rPr>
        <w:t xml:space="preserve"> </w:t>
      </w:r>
    </w:p>
    <w:p w14:paraId="579178AD" w14:textId="562B433D" w:rsidR="000249D9" w:rsidRDefault="00914DFD" w:rsidP="007A585D">
      <w:pPr>
        <w:pStyle w:val="c01pointnumerotealtn"/>
        <w:numPr>
          <w:ilvl w:val="0"/>
          <w:numId w:val="18"/>
        </w:numPr>
        <w:rPr>
          <w:rFonts w:ascii="Arial" w:hAnsi="Arial" w:cs="Arial"/>
        </w:rPr>
      </w:pPr>
      <w:r w:rsidRPr="00E91577">
        <w:rPr>
          <w:rFonts w:ascii="Arial" w:hAnsi="Arial" w:cs="Arial"/>
        </w:rPr>
        <w:t>any right of unilateral revocation could be used as leverage in negotiations</w:t>
      </w:r>
      <w:r w:rsidR="000249D9">
        <w:rPr>
          <w:rFonts w:ascii="Arial" w:hAnsi="Arial" w:cs="Arial"/>
        </w:rPr>
        <w:t xml:space="preserve">, </w:t>
      </w:r>
      <w:r w:rsidRPr="00E91577">
        <w:rPr>
          <w:rFonts w:ascii="Arial" w:hAnsi="Arial" w:cs="Arial"/>
        </w:rPr>
        <w:t>opening the way for abuse by the Member State concerned to the detriment of the European Union and its institutions</w:t>
      </w:r>
      <w:r w:rsidR="000249D9">
        <w:rPr>
          <w:rFonts w:ascii="Arial" w:hAnsi="Arial" w:cs="Arial"/>
        </w:rPr>
        <w:t>;</w:t>
      </w:r>
      <w:r w:rsidRPr="00E91577">
        <w:rPr>
          <w:rFonts w:ascii="Arial" w:hAnsi="Arial" w:cs="Arial"/>
        </w:rPr>
        <w:t xml:space="preserve"> </w:t>
      </w:r>
    </w:p>
    <w:p w14:paraId="7677053B" w14:textId="029F9737" w:rsidR="00914DFD" w:rsidRPr="00E91577" w:rsidRDefault="002C016F" w:rsidP="007A585D">
      <w:pPr>
        <w:pStyle w:val="c01pointnumerotealtn"/>
        <w:numPr>
          <w:ilvl w:val="0"/>
          <w:numId w:val="18"/>
        </w:numPr>
        <w:rPr>
          <w:rFonts w:ascii="Arial" w:hAnsi="Arial" w:cs="Arial"/>
        </w:rPr>
      </w:pPr>
      <w:r>
        <w:rPr>
          <w:rFonts w:ascii="Arial" w:hAnsi="Arial" w:cs="Arial"/>
        </w:rPr>
        <w:t>enabling for example the</w:t>
      </w:r>
      <w:r w:rsidR="000249D9">
        <w:rPr>
          <w:rFonts w:ascii="Arial" w:hAnsi="Arial" w:cs="Arial"/>
        </w:rPr>
        <w:t xml:space="preserve"> </w:t>
      </w:r>
      <w:r w:rsidR="00914DFD" w:rsidRPr="00E91577">
        <w:rPr>
          <w:rFonts w:ascii="Arial" w:hAnsi="Arial" w:cs="Arial"/>
        </w:rPr>
        <w:t xml:space="preserve">Member State to </w:t>
      </w:r>
      <w:r w:rsidR="009E2E99" w:rsidRPr="00E91577">
        <w:rPr>
          <w:rFonts w:ascii="Arial" w:hAnsi="Arial" w:cs="Arial"/>
        </w:rPr>
        <w:t xml:space="preserve">revoke its intention to leave </w:t>
      </w:r>
      <w:r w:rsidR="00914DFD" w:rsidRPr="00E91577">
        <w:rPr>
          <w:rFonts w:ascii="Arial" w:hAnsi="Arial" w:cs="Arial"/>
        </w:rPr>
        <w:t xml:space="preserve">shortly before the end of the period laid down in Article 50(3) TEU </w:t>
      </w:r>
      <w:r w:rsidR="000249D9">
        <w:rPr>
          <w:rFonts w:ascii="Arial" w:hAnsi="Arial" w:cs="Arial"/>
        </w:rPr>
        <w:t xml:space="preserve">allowing it to </w:t>
      </w:r>
      <w:r w:rsidR="00914DFD" w:rsidRPr="00E91577">
        <w:rPr>
          <w:rFonts w:ascii="Arial" w:hAnsi="Arial" w:cs="Arial"/>
        </w:rPr>
        <w:t>then notify</w:t>
      </w:r>
      <w:r w:rsidR="000249D9">
        <w:rPr>
          <w:rFonts w:ascii="Arial" w:hAnsi="Arial" w:cs="Arial"/>
        </w:rPr>
        <w:t xml:space="preserve"> </w:t>
      </w:r>
      <w:r w:rsidR="00914DFD" w:rsidRPr="00E91577">
        <w:rPr>
          <w:rFonts w:ascii="Arial" w:hAnsi="Arial" w:cs="Arial"/>
        </w:rPr>
        <w:t xml:space="preserve">a new intention to withdraw immediately after that period expired triggering a new two-year negotiation period </w:t>
      </w:r>
      <w:r w:rsidR="009E2E99" w:rsidRPr="00E91577">
        <w:rPr>
          <w:rFonts w:ascii="Arial" w:hAnsi="Arial" w:cs="Arial"/>
        </w:rPr>
        <w:t xml:space="preserve">and </w:t>
      </w:r>
      <w:r w:rsidR="00914DFD" w:rsidRPr="00E91577">
        <w:rPr>
          <w:rFonts w:ascii="Arial" w:hAnsi="Arial" w:cs="Arial"/>
        </w:rPr>
        <w:t>rendering the timetable laid down in Article 50(3) TEU ineffective.</w:t>
      </w:r>
    </w:p>
    <w:p w14:paraId="727AC420" w14:textId="3F78D3F3" w:rsidR="009E2E99" w:rsidRPr="00E07117" w:rsidRDefault="00CF565D" w:rsidP="00EA1CA7">
      <w:pPr>
        <w:pStyle w:val="c01pointnumerotealtn"/>
        <w:ind w:left="709" w:hanging="709"/>
        <w:rPr>
          <w:rFonts w:ascii="Arial" w:hAnsi="Arial" w:cs="Arial"/>
        </w:rPr>
      </w:pPr>
      <w:r>
        <w:rPr>
          <w:rFonts w:ascii="Arial" w:hAnsi="Arial" w:cs="Arial"/>
        </w:rPr>
        <w:t>2.5</w:t>
      </w:r>
      <w:r>
        <w:rPr>
          <w:rFonts w:ascii="Arial" w:hAnsi="Arial" w:cs="Arial"/>
        </w:rPr>
        <w:tab/>
      </w:r>
      <w:r w:rsidR="00914DFD" w:rsidRPr="00E07117">
        <w:rPr>
          <w:rFonts w:ascii="Arial" w:hAnsi="Arial" w:cs="Arial"/>
        </w:rPr>
        <w:t xml:space="preserve">The CJEU dismissed </w:t>
      </w:r>
      <w:r w:rsidR="00EA1CA7">
        <w:rPr>
          <w:rFonts w:ascii="Arial" w:hAnsi="Arial" w:cs="Arial"/>
        </w:rPr>
        <w:t xml:space="preserve">the arguments of </w:t>
      </w:r>
      <w:r w:rsidR="00914DFD" w:rsidRPr="00E07117">
        <w:rPr>
          <w:rFonts w:ascii="Arial" w:hAnsi="Arial" w:cs="Arial"/>
        </w:rPr>
        <w:t xml:space="preserve">both </w:t>
      </w:r>
      <w:r w:rsidR="00EA1CA7">
        <w:rPr>
          <w:rFonts w:ascii="Arial" w:hAnsi="Arial" w:cs="Arial"/>
        </w:rPr>
        <w:t xml:space="preserve">the UK Government and European </w:t>
      </w:r>
      <w:r w:rsidR="00EA1CA7" w:rsidRPr="00E91577">
        <w:rPr>
          <w:rFonts w:ascii="Arial" w:hAnsi="Arial" w:cs="Arial"/>
        </w:rPr>
        <w:t>Council and the Commission</w:t>
      </w:r>
      <w:r w:rsidR="009E2E99" w:rsidRPr="00E07117">
        <w:rPr>
          <w:rFonts w:ascii="Arial" w:hAnsi="Arial" w:cs="Arial"/>
        </w:rPr>
        <w:t>:</w:t>
      </w:r>
    </w:p>
    <w:p w14:paraId="3A75ED61" w14:textId="6A247159" w:rsidR="009E2E99" w:rsidRDefault="00914DFD" w:rsidP="007A585D">
      <w:pPr>
        <w:pStyle w:val="c01pointnumerotealtn"/>
        <w:numPr>
          <w:ilvl w:val="0"/>
          <w:numId w:val="17"/>
        </w:numPr>
        <w:rPr>
          <w:rFonts w:ascii="Arial" w:hAnsi="Arial" w:cs="Arial"/>
        </w:rPr>
      </w:pPr>
      <w:r w:rsidRPr="00E07117">
        <w:rPr>
          <w:rFonts w:ascii="Arial" w:hAnsi="Arial" w:cs="Arial"/>
        </w:rPr>
        <w:t xml:space="preserve">as the reference </w:t>
      </w:r>
      <w:r w:rsidR="00F6304B">
        <w:rPr>
          <w:rFonts w:ascii="Arial" w:hAnsi="Arial" w:cs="Arial"/>
        </w:rPr>
        <w:t xml:space="preserve">initiated </w:t>
      </w:r>
      <w:r w:rsidR="00F6304B" w:rsidRPr="00E07117">
        <w:rPr>
          <w:rFonts w:ascii="Arial" w:hAnsi="Arial" w:cs="Arial"/>
        </w:rPr>
        <w:t xml:space="preserve">by Members of the United Kingdom Parliament </w:t>
      </w:r>
      <w:r w:rsidRPr="00E07117">
        <w:rPr>
          <w:rFonts w:ascii="Arial" w:hAnsi="Arial" w:cs="Arial"/>
        </w:rPr>
        <w:t>sought a</w:t>
      </w:r>
      <w:r w:rsidR="009E2E99" w:rsidRPr="00E07117">
        <w:rPr>
          <w:rFonts w:ascii="Arial" w:hAnsi="Arial" w:cs="Arial"/>
        </w:rPr>
        <w:t xml:space="preserve">n </w:t>
      </w:r>
      <w:r w:rsidRPr="00E07117">
        <w:rPr>
          <w:rFonts w:ascii="Arial" w:hAnsi="Arial" w:cs="Arial"/>
        </w:rPr>
        <w:t xml:space="preserve">interpretation of EU law </w:t>
      </w:r>
      <w:r w:rsidR="00F6304B">
        <w:rPr>
          <w:rFonts w:ascii="Arial" w:hAnsi="Arial" w:cs="Arial"/>
        </w:rPr>
        <w:t xml:space="preserve">and they had a </w:t>
      </w:r>
      <w:r w:rsidR="009E2E99" w:rsidRPr="00E07117">
        <w:rPr>
          <w:rFonts w:ascii="Arial" w:hAnsi="Arial" w:cs="Arial"/>
        </w:rPr>
        <w:t xml:space="preserve">legitimate interest </w:t>
      </w:r>
      <w:r w:rsidR="00F6304B">
        <w:rPr>
          <w:rFonts w:ascii="Arial" w:hAnsi="Arial" w:cs="Arial"/>
        </w:rPr>
        <w:t xml:space="preserve">in doing so </w:t>
      </w:r>
      <w:r w:rsidR="000249D9">
        <w:rPr>
          <w:rFonts w:ascii="Arial" w:hAnsi="Arial" w:cs="Arial"/>
        </w:rPr>
        <w:t xml:space="preserve">as </w:t>
      </w:r>
      <w:r w:rsidR="009E2E99" w:rsidRPr="00E07117">
        <w:rPr>
          <w:rFonts w:ascii="Arial" w:hAnsi="Arial" w:cs="Arial"/>
        </w:rPr>
        <w:t>the answer on that question of law clarif</w:t>
      </w:r>
      <w:r w:rsidR="000249D9">
        <w:rPr>
          <w:rFonts w:ascii="Arial" w:hAnsi="Arial" w:cs="Arial"/>
        </w:rPr>
        <w:t>ies</w:t>
      </w:r>
      <w:r w:rsidR="009E2E99" w:rsidRPr="00E07117">
        <w:rPr>
          <w:rFonts w:ascii="Arial" w:hAnsi="Arial" w:cs="Arial"/>
        </w:rPr>
        <w:t xml:space="preserve"> the options open to them in exercising their parliamentary mandates;</w:t>
      </w:r>
    </w:p>
    <w:p w14:paraId="7516431E" w14:textId="5DDA155D" w:rsidR="00DF19A8" w:rsidRPr="00CC6138" w:rsidRDefault="00DF19A8" w:rsidP="007A585D">
      <w:pPr>
        <w:pStyle w:val="NormalWeb"/>
        <w:numPr>
          <w:ilvl w:val="0"/>
          <w:numId w:val="17"/>
        </w:numPr>
        <w:shd w:val="clear" w:color="auto" w:fill="FFFFFF"/>
        <w:spacing w:before="75" w:beforeAutospacing="0" w:after="75" w:afterAutospacing="0" w:line="308" w:lineRule="atLeast"/>
        <w:rPr>
          <w:rFonts w:ascii="Arial" w:hAnsi="Arial" w:cs="Arial"/>
          <w:color w:val="212121"/>
        </w:rPr>
      </w:pPr>
      <w:r>
        <w:rPr>
          <w:rFonts w:ascii="Arial" w:hAnsi="Arial" w:cs="Arial"/>
          <w:color w:val="212121"/>
        </w:rPr>
        <w:t>w</w:t>
      </w:r>
      <w:r w:rsidRPr="00CC6138">
        <w:rPr>
          <w:rFonts w:ascii="Arial" w:hAnsi="Arial" w:cs="Arial"/>
          <w:color w:val="212121"/>
        </w:rPr>
        <w:t>ithdrawing from a treaty was "by definition a unilateral act"</w:t>
      </w:r>
      <w:r>
        <w:rPr>
          <w:rFonts w:ascii="Arial" w:hAnsi="Arial" w:cs="Arial"/>
          <w:color w:val="212121"/>
        </w:rPr>
        <w:t>;</w:t>
      </w:r>
    </w:p>
    <w:p w14:paraId="4493CC6D" w14:textId="2E8CE2FB" w:rsidR="00DF19A8" w:rsidRPr="00E07117" w:rsidRDefault="00DF19A8" w:rsidP="007A585D">
      <w:pPr>
        <w:pStyle w:val="c01pointnumerotealtn"/>
        <w:numPr>
          <w:ilvl w:val="0"/>
          <w:numId w:val="17"/>
        </w:numPr>
        <w:rPr>
          <w:rFonts w:ascii="Arial" w:hAnsi="Arial" w:cs="Arial"/>
        </w:rPr>
      </w:pPr>
      <w:r>
        <w:rPr>
          <w:rFonts w:ascii="Arial" w:hAnsi="Arial" w:cs="Arial"/>
          <w:color w:val="212121"/>
        </w:rPr>
        <w:t>t</w:t>
      </w:r>
      <w:r w:rsidRPr="00CC6138">
        <w:rPr>
          <w:rFonts w:ascii="Arial" w:hAnsi="Arial" w:cs="Arial"/>
          <w:color w:val="212121"/>
        </w:rPr>
        <w:t xml:space="preserve">he wording of Article 50(2) requires </w:t>
      </w:r>
      <w:r w:rsidR="000249D9">
        <w:rPr>
          <w:rFonts w:ascii="Arial" w:hAnsi="Arial" w:cs="Arial"/>
          <w:color w:val="212121"/>
        </w:rPr>
        <w:t>M</w:t>
      </w:r>
      <w:r w:rsidRPr="00CC6138">
        <w:rPr>
          <w:rFonts w:ascii="Arial" w:hAnsi="Arial" w:cs="Arial"/>
          <w:color w:val="212121"/>
        </w:rPr>
        <w:t xml:space="preserve">ember </w:t>
      </w:r>
      <w:r w:rsidR="000249D9">
        <w:rPr>
          <w:rFonts w:ascii="Arial" w:hAnsi="Arial" w:cs="Arial"/>
          <w:color w:val="212121"/>
        </w:rPr>
        <w:t>S</w:t>
      </w:r>
      <w:r w:rsidRPr="00CC6138">
        <w:rPr>
          <w:rFonts w:ascii="Arial" w:hAnsi="Arial" w:cs="Arial"/>
          <w:color w:val="212121"/>
        </w:rPr>
        <w:t>tates to notify the European Council of an "intention" to withdraw from the EU, rather than taking a (binding) decision to do so</w:t>
      </w:r>
      <w:r>
        <w:rPr>
          <w:rFonts w:ascii="Arial" w:hAnsi="Arial" w:cs="Arial"/>
          <w:color w:val="212121"/>
        </w:rPr>
        <w:t>;</w:t>
      </w:r>
    </w:p>
    <w:p w14:paraId="6829AC0C" w14:textId="131D5719" w:rsidR="00DF19A8" w:rsidRPr="00DF19A8" w:rsidRDefault="009E2E99" w:rsidP="007A585D">
      <w:pPr>
        <w:pStyle w:val="c01pointnumerotealtn"/>
        <w:numPr>
          <w:ilvl w:val="0"/>
          <w:numId w:val="17"/>
        </w:numPr>
        <w:shd w:val="clear" w:color="auto" w:fill="FFFFFF"/>
        <w:spacing w:before="75" w:beforeAutospacing="0" w:after="75" w:afterAutospacing="0" w:line="308" w:lineRule="atLeast"/>
        <w:rPr>
          <w:rFonts w:ascii="Arial" w:hAnsi="Arial" w:cs="Arial"/>
          <w:color w:val="212121"/>
        </w:rPr>
      </w:pPr>
      <w:r w:rsidRPr="00DF19A8">
        <w:rPr>
          <w:rFonts w:ascii="Arial" w:hAnsi="Arial" w:cs="Arial"/>
        </w:rPr>
        <w:t>Article 50 enshrin</w:t>
      </w:r>
      <w:r w:rsidR="00E07117" w:rsidRPr="00DF19A8">
        <w:rPr>
          <w:rFonts w:ascii="Arial" w:hAnsi="Arial" w:cs="Arial"/>
        </w:rPr>
        <w:t>es</w:t>
      </w:r>
      <w:r w:rsidRPr="00DF19A8">
        <w:rPr>
          <w:rFonts w:ascii="Arial" w:hAnsi="Arial" w:cs="Arial"/>
        </w:rPr>
        <w:t xml:space="preserve"> the sovereign right of a Member State to withdraw from the European Union </w:t>
      </w:r>
      <w:r w:rsidR="00E07117" w:rsidRPr="00DF19A8">
        <w:rPr>
          <w:rFonts w:ascii="Arial" w:hAnsi="Arial" w:cs="Arial"/>
        </w:rPr>
        <w:t>in accordance with its own constitutional requirements which is not a decision made in concert with the other Member States and therefore depends solely on the sovereign choice of the Member State</w:t>
      </w:r>
      <w:r w:rsidR="00F6304B">
        <w:rPr>
          <w:rFonts w:ascii="Arial" w:hAnsi="Arial" w:cs="Arial"/>
        </w:rPr>
        <w:t>;</w:t>
      </w:r>
    </w:p>
    <w:p w14:paraId="74C51990" w14:textId="227E1430" w:rsidR="00DF19A8" w:rsidRPr="00DF19A8" w:rsidRDefault="000249D9" w:rsidP="007A585D">
      <w:pPr>
        <w:pStyle w:val="c01pointnumerotealtn"/>
        <w:numPr>
          <w:ilvl w:val="0"/>
          <w:numId w:val="17"/>
        </w:numPr>
        <w:shd w:val="clear" w:color="auto" w:fill="FFFFFF"/>
        <w:spacing w:before="75" w:beforeAutospacing="0" w:after="75" w:afterAutospacing="0" w:line="308" w:lineRule="atLeast"/>
        <w:rPr>
          <w:rFonts w:ascii="Arial" w:hAnsi="Arial" w:cs="Arial"/>
        </w:rPr>
      </w:pPr>
      <w:r>
        <w:rPr>
          <w:rFonts w:ascii="Arial" w:hAnsi="Arial" w:cs="Arial"/>
        </w:rPr>
        <w:t>i</w:t>
      </w:r>
      <w:r w:rsidR="00DF19A8" w:rsidRPr="00DF19A8">
        <w:rPr>
          <w:rFonts w:ascii="Arial" w:hAnsi="Arial" w:cs="Arial"/>
        </w:rPr>
        <w:t xml:space="preserve">t would be contrary to the values of the EU and Article 50 to </w:t>
      </w:r>
      <w:r w:rsidR="00DF19A8" w:rsidRPr="00DF19A8">
        <w:rPr>
          <w:rFonts w:ascii="Arial" w:hAnsi="Arial" w:cs="Arial"/>
          <w:color w:val="212121"/>
        </w:rPr>
        <w:t xml:space="preserve">force a </w:t>
      </w:r>
      <w:r w:rsidR="00F6304B">
        <w:rPr>
          <w:rFonts w:ascii="Arial" w:hAnsi="Arial" w:cs="Arial"/>
          <w:color w:val="212121"/>
        </w:rPr>
        <w:t>M</w:t>
      </w:r>
      <w:r w:rsidR="00DF19A8" w:rsidRPr="00DF19A8">
        <w:rPr>
          <w:rFonts w:ascii="Arial" w:hAnsi="Arial" w:cs="Arial"/>
          <w:color w:val="212121"/>
        </w:rPr>
        <w:t xml:space="preserve">ember </w:t>
      </w:r>
      <w:r w:rsidR="00F6304B">
        <w:rPr>
          <w:rFonts w:ascii="Arial" w:hAnsi="Arial" w:cs="Arial"/>
          <w:color w:val="212121"/>
        </w:rPr>
        <w:t>S</w:t>
      </w:r>
      <w:r w:rsidR="00DF19A8" w:rsidRPr="00DF19A8">
        <w:rPr>
          <w:rFonts w:ascii="Arial" w:hAnsi="Arial" w:cs="Arial"/>
          <w:color w:val="212121"/>
        </w:rPr>
        <w:t>tate that had decided not to withdraw to continue to negotiate a withdrawal agreement and to withdraw from the EU</w:t>
      </w:r>
      <w:r w:rsidR="00F6304B">
        <w:rPr>
          <w:rFonts w:ascii="Arial" w:hAnsi="Arial" w:cs="Arial"/>
          <w:color w:val="212121"/>
        </w:rPr>
        <w:t>.</w:t>
      </w:r>
    </w:p>
    <w:p w14:paraId="12726EAC" w14:textId="77777777" w:rsidR="00DF19A8" w:rsidRDefault="00DF19A8" w:rsidP="0072177A">
      <w:pPr>
        <w:shd w:val="clear" w:color="auto" w:fill="FFFFFF"/>
        <w:rPr>
          <w:rFonts w:ascii="Arial" w:hAnsi="Arial" w:cs="Arial"/>
        </w:rPr>
      </w:pPr>
    </w:p>
    <w:p w14:paraId="095339F5" w14:textId="42378091" w:rsidR="000249D9" w:rsidRDefault="00CF565D" w:rsidP="00CF565D">
      <w:pPr>
        <w:shd w:val="clear" w:color="auto" w:fill="FFFFFF"/>
        <w:ind w:left="720" w:hanging="720"/>
        <w:rPr>
          <w:rFonts w:ascii="Arial" w:hAnsi="Arial" w:cs="Arial"/>
        </w:rPr>
      </w:pPr>
      <w:r>
        <w:rPr>
          <w:rFonts w:ascii="Arial" w:hAnsi="Arial" w:cs="Arial"/>
        </w:rPr>
        <w:t>2.6</w:t>
      </w:r>
      <w:r>
        <w:rPr>
          <w:rFonts w:ascii="Arial" w:hAnsi="Arial" w:cs="Arial"/>
        </w:rPr>
        <w:tab/>
      </w:r>
      <w:r w:rsidR="00E07117" w:rsidRPr="00E07117">
        <w:rPr>
          <w:rFonts w:ascii="Arial" w:hAnsi="Arial" w:cs="Arial"/>
        </w:rPr>
        <w:t xml:space="preserve">The CJEU ruled that </w:t>
      </w:r>
      <w:r w:rsidR="0072177A" w:rsidRPr="00E07117">
        <w:rPr>
          <w:rFonts w:ascii="Arial" w:hAnsi="Arial" w:cs="Arial"/>
        </w:rPr>
        <w:t>Article 50 TEU must be interpreted as meaning that, where a Member State has notified the European Council, in accordance with that article, of its intention to withdraw from the EU, that article allows that Member State</w:t>
      </w:r>
      <w:r w:rsidR="000249D9">
        <w:rPr>
          <w:rFonts w:ascii="Arial" w:hAnsi="Arial" w:cs="Arial"/>
        </w:rPr>
        <w:t>:</w:t>
      </w:r>
      <w:r w:rsidR="0072177A" w:rsidRPr="00E07117">
        <w:rPr>
          <w:rFonts w:ascii="Arial" w:hAnsi="Arial" w:cs="Arial"/>
        </w:rPr>
        <w:t> </w:t>
      </w:r>
    </w:p>
    <w:p w14:paraId="7D07A341" w14:textId="77777777" w:rsidR="00907457" w:rsidRDefault="00907457" w:rsidP="0072177A">
      <w:pPr>
        <w:shd w:val="clear" w:color="auto" w:fill="FFFFFF"/>
        <w:rPr>
          <w:rFonts w:ascii="Arial" w:hAnsi="Arial" w:cs="Arial"/>
        </w:rPr>
      </w:pPr>
    </w:p>
    <w:p w14:paraId="6E2F59B4" w14:textId="290EF7D0" w:rsidR="000249D9" w:rsidRPr="000249D9" w:rsidRDefault="000249D9" w:rsidP="007A585D">
      <w:pPr>
        <w:pStyle w:val="ListParagraph"/>
        <w:numPr>
          <w:ilvl w:val="0"/>
          <w:numId w:val="19"/>
        </w:numPr>
        <w:shd w:val="clear" w:color="auto" w:fill="FFFFFF"/>
        <w:rPr>
          <w:rFonts w:ascii="Arial" w:hAnsi="Arial" w:cs="Arial"/>
        </w:rPr>
      </w:pPr>
      <w:r w:rsidRPr="000249D9">
        <w:rPr>
          <w:rFonts w:ascii="Arial" w:hAnsi="Arial" w:cs="Arial"/>
        </w:rPr>
        <w:t>f</w:t>
      </w:r>
      <w:r w:rsidR="0072177A" w:rsidRPr="000249D9">
        <w:rPr>
          <w:rFonts w:ascii="Arial" w:hAnsi="Arial" w:cs="Arial"/>
        </w:rPr>
        <w:t>or as long as a withdrawal agreement concluded between that Member State and the European Union has not entered into force or, if no such agreement has been concluded, for as long as the two-year period laid down in Article 50(3) TEU, possibly extended in accordance with that paragraph, has not expired</w:t>
      </w:r>
      <w:r w:rsidR="00907457">
        <w:rPr>
          <w:rFonts w:ascii="Arial" w:hAnsi="Arial" w:cs="Arial"/>
        </w:rPr>
        <w:t>;</w:t>
      </w:r>
      <w:r w:rsidR="0072177A" w:rsidRPr="000249D9">
        <w:rPr>
          <w:rFonts w:ascii="Arial" w:hAnsi="Arial" w:cs="Arial"/>
        </w:rPr>
        <w:t> </w:t>
      </w:r>
    </w:p>
    <w:p w14:paraId="5BB6D189" w14:textId="3E45C280" w:rsidR="000249D9" w:rsidRPr="000249D9" w:rsidRDefault="000249D9" w:rsidP="007A585D">
      <w:pPr>
        <w:pStyle w:val="ListParagraph"/>
        <w:numPr>
          <w:ilvl w:val="0"/>
          <w:numId w:val="19"/>
        </w:numPr>
        <w:shd w:val="clear" w:color="auto" w:fill="FFFFFF"/>
        <w:rPr>
          <w:rFonts w:ascii="Arial" w:hAnsi="Arial" w:cs="Arial"/>
        </w:rPr>
      </w:pPr>
      <w:r w:rsidRPr="000249D9">
        <w:rPr>
          <w:rFonts w:ascii="Arial" w:hAnsi="Arial" w:cs="Arial"/>
        </w:rPr>
        <w:t>t</w:t>
      </w:r>
      <w:r w:rsidR="0072177A" w:rsidRPr="000249D9">
        <w:rPr>
          <w:rFonts w:ascii="Arial" w:hAnsi="Arial" w:cs="Arial"/>
        </w:rPr>
        <w:t>o revoke that notification unilaterally, in an unequivocal and unconditional manner, by a notice addressed to the European Council in writing, after the Member State concerned has taken the revocation decision in accordance with its constitutional requirements</w:t>
      </w:r>
      <w:r w:rsidR="00907457">
        <w:rPr>
          <w:rFonts w:ascii="Arial" w:hAnsi="Arial" w:cs="Arial"/>
        </w:rPr>
        <w:t>;</w:t>
      </w:r>
      <w:r w:rsidR="0072177A" w:rsidRPr="000249D9">
        <w:rPr>
          <w:rFonts w:ascii="Arial" w:hAnsi="Arial" w:cs="Arial"/>
        </w:rPr>
        <w:t xml:space="preserve">. </w:t>
      </w:r>
    </w:p>
    <w:p w14:paraId="2703AD9B" w14:textId="7B4587B4" w:rsidR="0072177A" w:rsidRPr="000249D9" w:rsidRDefault="00907457" w:rsidP="007A585D">
      <w:pPr>
        <w:pStyle w:val="ListParagraph"/>
        <w:numPr>
          <w:ilvl w:val="0"/>
          <w:numId w:val="19"/>
        </w:numPr>
        <w:shd w:val="clear" w:color="auto" w:fill="FFFFFF"/>
        <w:rPr>
          <w:rFonts w:ascii="Arial" w:hAnsi="Arial" w:cs="Arial"/>
        </w:rPr>
      </w:pPr>
      <w:r>
        <w:rPr>
          <w:rFonts w:ascii="Arial" w:hAnsi="Arial" w:cs="Arial"/>
        </w:rPr>
        <w:t>to maintain c</w:t>
      </w:r>
      <w:r w:rsidR="00E07117" w:rsidRPr="000249D9">
        <w:rPr>
          <w:rFonts w:ascii="Arial" w:hAnsi="Arial" w:cs="Arial"/>
        </w:rPr>
        <w:t xml:space="preserve">ontinued EU membership </w:t>
      </w:r>
      <w:r w:rsidR="0072177A" w:rsidRPr="000249D9">
        <w:rPr>
          <w:rFonts w:ascii="Arial" w:hAnsi="Arial" w:cs="Arial"/>
        </w:rPr>
        <w:t xml:space="preserve">under terms that are unchanged as regards its status as a Member State, and </w:t>
      </w:r>
      <w:r w:rsidR="00F6304B">
        <w:rPr>
          <w:rFonts w:ascii="Arial" w:hAnsi="Arial" w:cs="Arial"/>
        </w:rPr>
        <w:t xml:space="preserve">to </w:t>
      </w:r>
      <w:r w:rsidR="0072177A" w:rsidRPr="000249D9">
        <w:rPr>
          <w:rFonts w:ascii="Arial" w:hAnsi="Arial" w:cs="Arial"/>
        </w:rPr>
        <w:t>bring the withdrawal procedure to an end.</w:t>
      </w:r>
    </w:p>
    <w:p w14:paraId="4A8B8F99" w14:textId="77777777" w:rsidR="00334B38" w:rsidRDefault="00334B38" w:rsidP="00B10E4C">
      <w:pPr>
        <w:shd w:val="clear" w:color="auto" w:fill="FFFFFF"/>
        <w:rPr>
          <w:rFonts w:ascii="Arial" w:hAnsi="Arial" w:cs="Arial"/>
          <w:color w:val="222222"/>
          <w:lang w:eastAsia="en-GB"/>
        </w:rPr>
      </w:pPr>
    </w:p>
    <w:p w14:paraId="57597C6E" w14:textId="77777777" w:rsidR="00F202B1" w:rsidRDefault="00F202B1" w:rsidP="00F202B1"/>
    <w:p w14:paraId="6793B2B4" w14:textId="664C2333" w:rsidR="00907457" w:rsidRPr="00907457" w:rsidRDefault="00CF565D" w:rsidP="00F202B1">
      <w:pPr>
        <w:rPr>
          <w:rFonts w:ascii="Arial" w:hAnsi="Arial" w:cs="Arial"/>
          <w:b/>
        </w:rPr>
      </w:pPr>
      <w:r>
        <w:rPr>
          <w:rFonts w:ascii="Arial" w:hAnsi="Arial" w:cs="Arial"/>
          <w:b/>
        </w:rPr>
        <w:t>3.0</w:t>
      </w:r>
      <w:r>
        <w:rPr>
          <w:rFonts w:ascii="Arial" w:hAnsi="Arial" w:cs="Arial"/>
          <w:b/>
        </w:rPr>
        <w:tab/>
      </w:r>
      <w:r w:rsidR="00907457" w:rsidRPr="00907457">
        <w:rPr>
          <w:rFonts w:ascii="Arial" w:hAnsi="Arial" w:cs="Arial"/>
          <w:b/>
        </w:rPr>
        <w:t xml:space="preserve">Data Protection &amp; Brexit </w:t>
      </w:r>
    </w:p>
    <w:p w14:paraId="72B34D39" w14:textId="0A1D6494" w:rsidR="00907457" w:rsidRDefault="00907457" w:rsidP="00F202B1">
      <w:r>
        <w:t xml:space="preserve"> </w:t>
      </w:r>
    </w:p>
    <w:p w14:paraId="6E37FC43" w14:textId="11EF4448" w:rsidR="00A96FAD" w:rsidRPr="00A96FAD" w:rsidRDefault="00CF565D" w:rsidP="00CF565D">
      <w:pPr>
        <w:ind w:left="720" w:hanging="720"/>
        <w:rPr>
          <w:rFonts w:ascii="Arial" w:hAnsi="Arial" w:cs="Arial"/>
        </w:rPr>
      </w:pPr>
      <w:r>
        <w:rPr>
          <w:rFonts w:ascii="Arial" w:hAnsi="Arial" w:cs="Arial"/>
        </w:rPr>
        <w:t>3.1</w:t>
      </w:r>
      <w:r>
        <w:rPr>
          <w:rFonts w:ascii="Arial" w:hAnsi="Arial" w:cs="Arial"/>
        </w:rPr>
        <w:tab/>
      </w:r>
      <w:r w:rsidR="00A96FAD" w:rsidRPr="00A96FAD">
        <w:rPr>
          <w:rFonts w:ascii="Arial" w:hAnsi="Arial" w:cs="Arial"/>
        </w:rPr>
        <w:t>If an agreement between the United Kingdom and the European Union (EU) is not approved by Parliament, and nothing further occurs, the UK shall cease to be a Member State and will automatically leave the European Union on 29</w:t>
      </w:r>
      <w:r w:rsidR="00A96FAD" w:rsidRPr="00A96FAD">
        <w:rPr>
          <w:rFonts w:ascii="Arial" w:hAnsi="Arial" w:cs="Arial"/>
          <w:vertAlign w:val="superscript"/>
        </w:rPr>
        <w:t>th</w:t>
      </w:r>
      <w:r w:rsidR="00A96FAD" w:rsidRPr="00A96FAD">
        <w:rPr>
          <w:rFonts w:ascii="Arial" w:hAnsi="Arial" w:cs="Arial"/>
        </w:rPr>
        <w:t xml:space="preserve"> March 2019. </w:t>
      </w:r>
    </w:p>
    <w:p w14:paraId="74D5775E" w14:textId="77777777" w:rsidR="00A96FAD" w:rsidRDefault="00A96FAD">
      <w:pPr>
        <w:rPr>
          <w:rFonts w:ascii="Arial" w:hAnsi="Arial" w:cs="Arial"/>
        </w:rPr>
      </w:pPr>
    </w:p>
    <w:p w14:paraId="3562686E" w14:textId="231B2F16" w:rsidR="00A96FAD" w:rsidRDefault="00CF565D" w:rsidP="00CF565D">
      <w:pPr>
        <w:ind w:left="720" w:hanging="720"/>
        <w:rPr>
          <w:rFonts w:ascii="Arial" w:hAnsi="Arial" w:cs="Arial"/>
        </w:rPr>
      </w:pPr>
      <w:r>
        <w:rPr>
          <w:rFonts w:ascii="Arial" w:hAnsi="Arial" w:cs="Arial"/>
        </w:rPr>
        <w:t>3.2</w:t>
      </w:r>
      <w:r>
        <w:rPr>
          <w:rFonts w:ascii="Arial" w:hAnsi="Arial" w:cs="Arial"/>
        </w:rPr>
        <w:tab/>
      </w:r>
      <w:r w:rsidR="00A96FAD">
        <w:rPr>
          <w:rFonts w:ascii="Arial" w:hAnsi="Arial" w:cs="Arial"/>
        </w:rPr>
        <w:t>T</w:t>
      </w:r>
      <w:r w:rsidR="00A96FAD" w:rsidRPr="00A546C6">
        <w:rPr>
          <w:rFonts w:ascii="Arial" w:hAnsi="Arial" w:cs="Arial"/>
        </w:rPr>
        <w:t>he manner of the UK’s departure</w:t>
      </w:r>
      <w:r w:rsidR="00A96FAD">
        <w:rPr>
          <w:rFonts w:ascii="Arial" w:hAnsi="Arial" w:cs="Arial"/>
        </w:rPr>
        <w:t xml:space="preserve"> from the EU has implications for the ease with which personal data continues to flow after that date </w:t>
      </w:r>
      <w:r w:rsidR="00A96FAD" w:rsidRPr="00A546C6">
        <w:rPr>
          <w:rFonts w:ascii="Arial" w:hAnsi="Arial" w:cs="Arial"/>
        </w:rPr>
        <w:t xml:space="preserve">between the </w:t>
      </w:r>
      <w:r w:rsidR="00A96FAD">
        <w:rPr>
          <w:rFonts w:ascii="Arial" w:hAnsi="Arial" w:cs="Arial"/>
        </w:rPr>
        <w:t>UK and EU (including the European Economic Area (EEA))</w:t>
      </w:r>
      <w:r w:rsidR="00A96FAD" w:rsidRPr="00A546C6">
        <w:rPr>
          <w:rFonts w:ascii="Arial" w:hAnsi="Arial" w:cs="Arial"/>
        </w:rPr>
        <w:t>.</w:t>
      </w:r>
    </w:p>
    <w:p w14:paraId="533D1F35" w14:textId="77777777" w:rsidR="00A546C6" w:rsidRDefault="00A546C6">
      <w:pPr>
        <w:rPr>
          <w:rFonts w:ascii="Arial" w:hAnsi="Arial" w:cs="Arial"/>
        </w:rPr>
      </w:pPr>
    </w:p>
    <w:p w14:paraId="6AE31D60" w14:textId="54DF1CDF" w:rsidR="00BA3253" w:rsidRDefault="00CF565D" w:rsidP="00CF565D">
      <w:pPr>
        <w:ind w:left="720" w:hanging="720"/>
        <w:rPr>
          <w:rFonts w:ascii="Arial" w:hAnsi="Arial" w:cs="Arial"/>
        </w:rPr>
      </w:pPr>
      <w:r>
        <w:rPr>
          <w:rFonts w:ascii="Arial" w:hAnsi="Arial" w:cs="Arial"/>
        </w:rPr>
        <w:t>3.3</w:t>
      </w:r>
      <w:r>
        <w:rPr>
          <w:rFonts w:ascii="Arial" w:hAnsi="Arial" w:cs="Arial"/>
        </w:rPr>
        <w:tab/>
      </w:r>
      <w:r w:rsidR="00A96FAD">
        <w:rPr>
          <w:rFonts w:ascii="Arial" w:hAnsi="Arial" w:cs="Arial"/>
        </w:rPr>
        <w:t>The UK G</w:t>
      </w:r>
      <w:r w:rsidR="00987C38">
        <w:rPr>
          <w:rFonts w:ascii="Arial" w:hAnsi="Arial" w:cs="Arial"/>
        </w:rPr>
        <w:t xml:space="preserve">overnment’s </w:t>
      </w:r>
      <w:r w:rsidR="00A96FAD">
        <w:rPr>
          <w:rFonts w:ascii="Arial" w:hAnsi="Arial" w:cs="Arial"/>
        </w:rPr>
        <w:t xml:space="preserve">stated data protection objective </w:t>
      </w:r>
      <w:r w:rsidR="00FB75E7">
        <w:rPr>
          <w:rFonts w:ascii="Arial" w:hAnsi="Arial" w:cs="Arial"/>
        </w:rPr>
        <w:t xml:space="preserve">has been </w:t>
      </w:r>
      <w:r w:rsidR="00987C38">
        <w:rPr>
          <w:rFonts w:ascii="Arial" w:hAnsi="Arial" w:cs="Arial"/>
        </w:rPr>
        <w:t>to reach an agreement with the EU</w:t>
      </w:r>
      <w:r w:rsidR="00BA3253">
        <w:rPr>
          <w:rFonts w:ascii="Arial" w:hAnsi="Arial" w:cs="Arial"/>
        </w:rPr>
        <w:t xml:space="preserve"> whereby:</w:t>
      </w:r>
    </w:p>
    <w:p w14:paraId="25EAE603" w14:textId="77777777" w:rsidR="00BA3253" w:rsidRDefault="00BA3253">
      <w:pPr>
        <w:rPr>
          <w:rFonts w:ascii="Arial" w:hAnsi="Arial" w:cs="Arial"/>
        </w:rPr>
      </w:pPr>
    </w:p>
    <w:p w14:paraId="3F86B790" w14:textId="77777777" w:rsidR="00BA3253" w:rsidRPr="00BA3253" w:rsidRDefault="00BA3253" w:rsidP="007A585D">
      <w:pPr>
        <w:pStyle w:val="ListParagraph"/>
        <w:numPr>
          <w:ilvl w:val="0"/>
          <w:numId w:val="4"/>
        </w:numPr>
        <w:rPr>
          <w:rFonts w:ascii="Arial" w:hAnsi="Arial" w:cs="Arial"/>
        </w:rPr>
      </w:pPr>
      <w:r>
        <w:rPr>
          <w:rFonts w:ascii="Arial" w:hAnsi="Arial" w:cs="Arial"/>
        </w:rPr>
        <w:t xml:space="preserve">each side </w:t>
      </w:r>
      <w:r w:rsidRPr="00BA3253">
        <w:rPr>
          <w:rFonts w:ascii="Arial" w:hAnsi="Arial" w:cs="Arial"/>
        </w:rPr>
        <w:t xml:space="preserve">mutually recognises </w:t>
      </w:r>
      <w:r w:rsidR="00987C38" w:rsidRPr="00BA3253">
        <w:rPr>
          <w:rFonts w:ascii="Arial" w:hAnsi="Arial" w:cs="Arial"/>
        </w:rPr>
        <w:t>the equivalence of their respective data protection regimes</w:t>
      </w:r>
      <w:r w:rsidRPr="00BA3253">
        <w:rPr>
          <w:rFonts w:ascii="Arial" w:hAnsi="Arial" w:cs="Arial"/>
        </w:rPr>
        <w:t>;</w:t>
      </w:r>
    </w:p>
    <w:p w14:paraId="2E3CEB2D" w14:textId="77777777" w:rsidR="00BA3253" w:rsidRDefault="00BA3253" w:rsidP="007A585D">
      <w:pPr>
        <w:pStyle w:val="ListParagraph"/>
        <w:numPr>
          <w:ilvl w:val="0"/>
          <w:numId w:val="4"/>
        </w:numPr>
        <w:rPr>
          <w:rFonts w:ascii="Arial" w:hAnsi="Arial" w:cs="Arial"/>
        </w:rPr>
      </w:pPr>
      <w:r w:rsidRPr="00BA3253">
        <w:rPr>
          <w:rFonts w:ascii="Arial" w:hAnsi="Arial" w:cs="Arial"/>
        </w:rPr>
        <w:t xml:space="preserve">provides </w:t>
      </w:r>
      <w:r w:rsidR="00987C38" w:rsidRPr="00BA3253">
        <w:rPr>
          <w:rFonts w:ascii="Arial" w:hAnsi="Arial" w:cs="Arial"/>
        </w:rPr>
        <w:t>a continuing role for the UK</w:t>
      </w:r>
      <w:r>
        <w:rPr>
          <w:rFonts w:ascii="Arial" w:hAnsi="Arial" w:cs="Arial"/>
        </w:rPr>
        <w:t>’</w:t>
      </w:r>
      <w:r w:rsidR="00987C38" w:rsidRPr="00BA3253">
        <w:rPr>
          <w:rFonts w:ascii="Arial" w:hAnsi="Arial" w:cs="Arial"/>
        </w:rPr>
        <w:t>s Information Commissioner</w:t>
      </w:r>
      <w:r>
        <w:rPr>
          <w:rFonts w:ascii="Arial" w:hAnsi="Arial" w:cs="Arial"/>
        </w:rPr>
        <w:t>:</w:t>
      </w:r>
    </w:p>
    <w:p w14:paraId="7216EB58" w14:textId="61570EB8" w:rsidR="00BA3253" w:rsidRDefault="00987C38" w:rsidP="007A585D">
      <w:pPr>
        <w:pStyle w:val="ListParagraph"/>
        <w:numPr>
          <w:ilvl w:val="1"/>
          <w:numId w:val="4"/>
        </w:numPr>
        <w:rPr>
          <w:rFonts w:ascii="Arial" w:hAnsi="Arial" w:cs="Arial"/>
        </w:rPr>
      </w:pPr>
      <w:r w:rsidRPr="00BA3253">
        <w:rPr>
          <w:rFonts w:ascii="Arial" w:hAnsi="Arial" w:cs="Arial"/>
        </w:rPr>
        <w:t>as a competent supervisory authority for the purposes of GDPR</w:t>
      </w:r>
      <w:r w:rsidR="004B487F">
        <w:rPr>
          <w:rFonts w:ascii="Arial" w:hAnsi="Arial" w:cs="Arial"/>
        </w:rPr>
        <w:t>, and</w:t>
      </w:r>
      <w:r w:rsidR="00BA3253" w:rsidRPr="00BA3253">
        <w:rPr>
          <w:rFonts w:ascii="Arial" w:hAnsi="Arial" w:cs="Arial"/>
        </w:rPr>
        <w:t xml:space="preserve"> </w:t>
      </w:r>
    </w:p>
    <w:p w14:paraId="744F928A" w14:textId="450BEE12" w:rsidR="00987C38" w:rsidRPr="00BA3253" w:rsidRDefault="00F6304B" w:rsidP="007A585D">
      <w:pPr>
        <w:pStyle w:val="ListParagraph"/>
        <w:numPr>
          <w:ilvl w:val="1"/>
          <w:numId w:val="4"/>
        </w:numPr>
        <w:rPr>
          <w:rFonts w:ascii="Arial" w:hAnsi="Arial" w:cs="Arial"/>
        </w:rPr>
      </w:pPr>
      <w:r>
        <w:rPr>
          <w:rFonts w:ascii="Arial" w:hAnsi="Arial" w:cs="Arial"/>
        </w:rPr>
        <w:t xml:space="preserve">maintains its </w:t>
      </w:r>
      <w:r w:rsidR="00987C38" w:rsidRPr="00BA3253">
        <w:rPr>
          <w:rFonts w:ascii="Arial" w:hAnsi="Arial" w:cs="Arial"/>
        </w:rPr>
        <w:t>seat on the European Data Protection Board</w:t>
      </w:r>
      <w:r w:rsidR="00BA3253">
        <w:rPr>
          <w:rFonts w:ascii="Arial" w:hAnsi="Arial" w:cs="Arial"/>
        </w:rPr>
        <w:t xml:space="preserve"> (EDPB)</w:t>
      </w:r>
      <w:r w:rsidR="00987C38" w:rsidRPr="00BA3253">
        <w:rPr>
          <w:rFonts w:ascii="Arial" w:hAnsi="Arial" w:cs="Arial"/>
        </w:rPr>
        <w:t>.</w:t>
      </w:r>
    </w:p>
    <w:p w14:paraId="2BB5B6D7" w14:textId="77777777" w:rsidR="00987C38" w:rsidRDefault="00987C38">
      <w:pPr>
        <w:rPr>
          <w:rFonts w:ascii="Arial" w:hAnsi="Arial" w:cs="Arial"/>
        </w:rPr>
      </w:pPr>
    </w:p>
    <w:p w14:paraId="75340F93" w14:textId="1967E940" w:rsidR="00987C38" w:rsidRDefault="00CF565D" w:rsidP="00CF565D">
      <w:pPr>
        <w:ind w:left="720" w:hanging="720"/>
        <w:rPr>
          <w:rFonts w:ascii="Arial" w:hAnsi="Arial" w:cs="Arial"/>
        </w:rPr>
      </w:pPr>
      <w:r>
        <w:rPr>
          <w:rFonts w:ascii="Arial" w:hAnsi="Arial" w:cs="Arial"/>
        </w:rPr>
        <w:t>3.4</w:t>
      </w:r>
      <w:r>
        <w:rPr>
          <w:rFonts w:ascii="Arial" w:hAnsi="Arial" w:cs="Arial"/>
        </w:rPr>
        <w:tab/>
      </w:r>
      <w:r w:rsidR="00EA1CA7">
        <w:rPr>
          <w:rFonts w:ascii="Arial" w:hAnsi="Arial" w:cs="Arial"/>
        </w:rPr>
        <w:t>The</w:t>
      </w:r>
      <w:r w:rsidR="00987C38">
        <w:rPr>
          <w:rFonts w:ascii="Arial" w:hAnsi="Arial" w:cs="Arial"/>
        </w:rPr>
        <w:t xml:space="preserve"> </w:t>
      </w:r>
      <w:r w:rsidR="000E42F7">
        <w:rPr>
          <w:rFonts w:ascii="Arial" w:hAnsi="Arial" w:cs="Arial"/>
        </w:rPr>
        <w:t xml:space="preserve">proposed UK </w:t>
      </w:r>
      <w:r w:rsidR="00987C38">
        <w:rPr>
          <w:rFonts w:ascii="Arial" w:hAnsi="Arial" w:cs="Arial"/>
        </w:rPr>
        <w:t>model</w:t>
      </w:r>
      <w:r w:rsidR="003600B4">
        <w:rPr>
          <w:rStyle w:val="FootnoteReference"/>
          <w:rFonts w:ascii="Arial" w:hAnsi="Arial" w:cs="Arial"/>
        </w:rPr>
        <w:footnoteReference w:id="2"/>
      </w:r>
      <w:r w:rsidR="00987C38">
        <w:rPr>
          <w:rFonts w:ascii="Arial" w:hAnsi="Arial" w:cs="Arial"/>
        </w:rPr>
        <w:t xml:space="preserve"> has so far been dismissed by the EU negotiators on the basis that:</w:t>
      </w:r>
    </w:p>
    <w:p w14:paraId="69466074" w14:textId="77777777" w:rsidR="002C2B39" w:rsidRDefault="002C2B39">
      <w:pPr>
        <w:rPr>
          <w:rFonts w:ascii="Arial" w:hAnsi="Arial" w:cs="Arial"/>
        </w:rPr>
      </w:pPr>
    </w:p>
    <w:p w14:paraId="4BEF2B44" w14:textId="763FF532" w:rsidR="002C2B39" w:rsidRPr="002C2B39" w:rsidRDefault="00987C38" w:rsidP="007A585D">
      <w:pPr>
        <w:pStyle w:val="ListParagraph"/>
        <w:numPr>
          <w:ilvl w:val="0"/>
          <w:numId w:val="3"/>
        </w:numPr>
        <w:rPr>
          <w:rFonts w:ascii="Arial" w:hAnsi="Arial" w:cs="Arial"/>
        </w:rPr>
      </w:pPr>
      <w:r w:rsidRPr="002C2B39">
        <w:rPr>
          <w:rFonts w:ascii="Arial" w:hAnsi="Arial" w:cs="Arial"/>
        </w:rPr>
        <w:t xml:space="preserve">the UK refuses </w:t>
      </w:r>
      <w:r w:rsidR="002C2B39" w:rsidRPr="002C2B39">
        <w:rPr>
          <w:rFonts w:ascii="Arial" w:hAnsi="Arial" w:cs="Arial"/>
        </w:rPr>
        <w:t>(</w:t>
      </w:r>
      <w:r w:rsidRPr="002C2B39">
        <w:rPr>
          <w:rFonts w:ascii="Arial" w:hAnsi="Arial" w:cs="Arial"/>
        </w:rPr>
        <w:t>at least in the long</w:t>
      </w:r>
      <w:r w:rsidR="00FC17AD">
        <w:rPr>
          <w:rFonts w:ascii="Arial" w:hAnsi="Arial" w:cs="Arial"/>
        </w:rPr>
        <w:t>er</w:t>
      </w:r>
      <w:r w:rsidRPr="002C2B39">
        <w:rPr>
          <w:rFonts w:ascii="Arial" w:hAnsi="Arial" w:cs="Arial"/>
        </w:rPr>
        <w:t xml:space="preserve"> term) to be subject to the jurisdiction of the Court of Justice </w:t>
      </w:r>
      <w:r w:rsidR="00FC17AD">
        <w:rPr>
          <w:rFonts w:ascii="Arial" w:hAnsi="Arial" w:cs="Arial"/>
        </w:rPr>
        <w:t xml:space="preserve">of the European Union </w:t>
      </w:r>
      <w:r w:rsidR="00EB1830">
        <w:rPr>
          <w:rFonts w:ascii="Arial" w:hAnsi="Arial" w:cs="Arial"/>
        </w:rPr>
        <w:t>(</w:t>
      </w:r>
      <w:r w:rsidR="00FC17AD">
        <w:rPr>
          <w:rFonts w:ascii="Arial" w:hAnsi="Arial" w:cs="Arial"/>
        </w:rPr>
        <w:t>CJEU</w:t>
      </w:r>
      <w:r w:rsidR="00EB1830">
        <w:rPr>
          <w:rFonts w:ascii="Arial" w:hAnsi="Arial" w:cs="Arial"/>
        </w:rPr>
        <w:t xml:space="preserve">) </w:t>
      </w:r>
      <w:r w:rsidR="002C2B39" w:rsidRPr="002C2B39">
        <w:rPr>
          <w:rFonts w:ascii="Arial" w:hAnsi="Arial" w:cs="Arial"/>
        </w:rPr>
        <w:t>which settles disputes over the interpretation of the GDPR;</w:t>
      </w:r>
    </w:p>
    <w:p w14:paraId="315BA379" w14:textId="77777777" w:rsidR="002C2B39" w:rsidRDefault="002C2B39">
      <w:pPr>
        <w:rPr>
          <w:rFonts w:ascii="Arial" w:hAnsi="Arial" w:cs="Arial"/>
        </w:rPr>
      </w:pPr>
    </w:p>
    <w:p w14:paraId="239B35A5" w14:textId="77777777" w:rsidR="002C2B39" w:rsidRPr="002C2B39" w:rsidRDefault="002C2B39" w:rsidP="007A585D">
      <w:pPr>
        <w:pStyle w:val="ListParagraph"/>
        <w:numPr>
          <w:ilvl w:val="0"/>
          <w:numId w:val="3"/>
        </w:numPr>
        <w:rPr>
          <w:rFonts w:ascii="Arial" w:hAnsi="Arial" w:cs="Arial"/>
        </w:rPr>
      </w:pPr>
      <w:r w:rsidRPr="002C2B39">
        <w:rPr>
          <w:rFonts w:ascii="Arial" w:hAnsi="Arial" w:cs="Arial"/>
        </w:rPr>
        <w:t>the</w:t>
      </w:r>
      <w:r w:rsidR="00EB1830">
        <w:rPr>
          <w:rFonts w:ascii="Arial" w:hAnsi="Arial" w:cs="Arial"/>
        </w:rPr>
        <w:t xml:space="preserve"> </w:t>
      </w:r>
      <w:r w:rsidRPr="002C2B39">
        <w:rPr>
          <w:rFonts w:ascii="Arial" w:hAnsi="Arial" w:cs="Arial"/>
        </w:rPr>
        <w:t xml:space="preserve">EU </w:t>
      </w:r>
      <w:r w:rsidR="00EB1830">
        <w:rPr>
          <w:rFonts w:ascii="Arial" w:hAnsi="Arial" w:cs="Arial"/>
        </w:rPr>
        <w:t xml:space="preserve">has no </w:t>
      </w:r>
      <w:r w:rsidRPr="002C2B39">
        <w:rPr>
          <w:rFonts w:ascii="Arial" w:hAnsi="Arial" w:cs="Arial"/>
        </w:rPr>
        <w:t>authority to ensure that the UK keeps pace with EU data protection standards as the GDPR is amended and supplemented over time</w:t>
      </w:r>
      <w:r w:rsidR="00EB1830">
        <w:rPr>
          <w:rFonts w:ascii="Arial" w:hAnsi="Arial" w:cs="Arial"/>
        </w:rPr>
        <w:t>.</w:t>
      </w:r>
      <w:r w:rsidRPr="002C2B39">
        <w:rPr>
          <w:rFonts w:ascii="Arial" w:hAnsi="Arial" w:cs="Arial"/>
        </w:rPr>
        <w:t xml:space="preserve"> </w:t>
      </w:r>
    </w:p>
    <w:p w14:paraId="1465C8DF" w14:textId="77777777" w:rsidR="002C2B39" w:rsidRDefault="002C2B39">
      <w:pPr>
        <w:rPr>
          <w:rFonts w:ascii="Arial" w:hAnsi="Arial" w:cs="Arial"/>
        </w:rPr>
      </w:pPr>
    </w:p>
    <w:p w14:paraId="1EBF28E6" w14:textId="2222989E" w:rsidR="00A96FAD" w:rsidRDefault="00CF565D" w:rsidP="00CF565D">
      <w:pPr>
        <w:ind w:left="720" w:hanging="720"/>
        <w:rPr>
          <w:rFonts w:ascii="Arial" w:hAnsi="Arial" w:cs="Arial"/>
        </w:rPr>
      </w:pPr>
      <w:r>
        <w:rPr>
          <w:rFonts w:ascii="Arial" w:hAnsi="Arial" w:cs="Arial"/>
        </w:rPr>
        <w:t>3.5</w:t>
      </w:r>
      <w:r>
        <w:rPr>
          <w:rFonts w:ascii="Arial" w:hAnsi="Arial" w:cs="Arial"/>
        </w:rPr>
        <w:tab/>
      </w:r>
      <w:r w:rsidR="002C2B39">
        <w:rPr>
          <w:rFonts w:ascii="Arial" w:hAnsi="Arial" w:cs="Arial"/>
        </w:rPr>
        <w:t xml:space="preserve">In any case, Article 45 of the GDPR sets out the </w:t>
      </w:r>
      <w:r w:rsidR="00BA3253">
        <w:rPr>
          <w:rFonts w:ascii="Arial" w:hAnsi="Arial" w:cs="Arial"/>
        </w:rPr>
        <w:t xml:space="preserve">rules </w:t>
      </w:r>
      <w:r w:rsidR="002C2B39">
        <w:rPr>
          <w:rFonts w:ascii="Arial" w:hAnsi="Arial" w:cs="Arial"/>
        </w:rPr>
        <w:t>to be followed by the</w:t>
      </w:r>
      <w:r w:rsidR="00FC17AD">
        <w:rPr>
          <w:rFonts w:ascii="Arial" w:hAnsi="Arial" w:cs="Arial"/>
        </w:rPr>
        <w:t xml:space="preserve"> EC</w:t>
      </w:r>
      <w:r w:rsidR="002C2B39">
        <w:rPr>
          <w:rFonts w:ascii="Arial" w:hAnsi="Arial" w:cs="Arial"/>
        </w:rPr>
        <w:t xml:space="preserve"> Commission </w:t>
      </w:r>
      <w:r w:rsidR="00BA3253">
        <w:rPr>
          <w:rFonts w:ascii="Arial" w:hAnsi="Arial" w:cs="Arial"/>
        </w:rPr>
        <w:t xml:space="preserve">in determining whether a third country or international organisation </w:t>
      </w:r>
      <w:r w:rsidR="00EB1830">
        <w:rPr>
          <w:rFonts w:ascii="Arial" w:hAnsi="Arial" w:cs="Arial"/>
        </w:rPr>
        <w:t xml:space="preserve">applies </w:t>
      </w:r>
      <w:r w:rsidR="00BA3253">
        <w:rPr>
          <w:rFonts w:ascii="Arial" w:hAnsi="Arial" w:cs="Arial"/>
        </w:rPr>
        <w:t xml:space="preserve">an adequate level of </w:t>
      </w:r>
      <w:r w:rsidR="00A02936">
        <w:rPr>
          <w:rFonts w:ascii="Arial" w:hAnsi="Arial" w:cs="Arial"/>
        </w:rPr>
        <w:t xml:space="preserve">data </w:t>
      </w:r>
      <w:r w:rsidR="00BA3253">
        <w:rPr>
          <w:rFonts w:ascii="Arial" w:hAnsi="Arial" w:cs="Arial"/>
        </w:rPr>
        <w:t xml:space="preserve">protection. </w:t>
      </w:r>
    </w:p>
    <w:p w14:paraId="1AB20EBE" w14:textId="77777777" w:rsidR="00A96FAD" w:rsidRDefault="00A96FAD">
      <w:pPr>
        <w:rPr>
          <w:rFonts w:ascii="Arial" w:hAnsi="Arial" w:cs="Arial"/>
        </w:rPr>
      </w:pPr>
    </w:p>
    <w:p w14:paraId="1FD7C2E5" w14:textId="24459A13" w:rsidR="00BA3253" w:rsidRDefault="00CF565D" w:rsidP="00CF565D">
      <w:pPr>
        <w:ind w:left="720" w:hanging="720"/>
        <w:rPr>
          <w:rFonts w:ascii="Arial" w:hAnsi="Arial" w:cs="Arial"/>
        </w:rPr>
      </w:pPr>
      <w:r>
        <w:rPr>
          <w:rFonts w:ascii="Arial" w:hAnsi="Arial" w:cs="Arial"/>
        </w:rPr>
        <w:t>3.6</w:t>
      </w:r>
      <w:r>
        <w:rPr>
          <w:rFonts w:ascii="Arial" w:hAnsi="Arial" w:cs="Arial"/>
        </w:rPr>
        <w:tab/>
      </w:r>
      <w:r w:rsidR="00BA3253">
        <w:rPr>
          <w:rFonts w:ascii="Arial" w:hAnsi="Arial" w:cs="Arial"/>
        </w:rPr>
        <w:t xml:space="preserve">The EU’s position is that this process cannot </w:t>
      </w:r>
      <w:r w:rsidR="00EB1830">
        <w:rPr>
          <w:rFonts w:ascii="Arial" w:hAnsi="Arial" w:cs="Arial"/>
        </w:rPr>
        <w:t xml:space="preserve">commence </w:t>
      </w:r>
      <w:r w:rsidR="00BA3253">
        <w:rPr>
          <w:rFonts w:ascii="Arial" w:hAnsi="Arial" w:cs="Arial"/>
        </w:rPr>
        <w:t xml:space="preserve">until the UK </w:t>
      </w:r>
      <w:r w:rsidR="00FC17AD">
        <w:rPr>
          <w:rFonts w:ascii="Arial" w:hAnsi="Arial" w:cs="Arial"/>
        </w:rPr>
        <w:t xml:space="preserve">leaves the EU and </w:t>
      </w:r>
      <w:r w:rsidR="00BA3253">
        <w:rPr>
          <w:rFonts w:ascii="Arial" w:hAnsi="Arial" w:cs="Arial"/>
        </w:rPr>
        <w:t xml:space="preserve">becomes a third country.   </w:t>
      </w:r>
    </w:p>
    <w:p w14:paraId="335C814A" w14:textId="77777777" w:rsidR="002C2B39" w:rsidRDefault="002C2B39">
      <w:pPr>
        <w:rPr>
          <w:rFonts w:ascii="Arial" w:hAnsi="Arial" w:cs="Arial"/>
        </w:rPr>
      </w:pPr>
      <w:r>
        <w:rPr>
          <w:rFonts w:ascii="Arial" w:hAnsi="Arial" w:cs="Arial"/>
        </w:rPr>
        <w:t xml:space="preserve"> </w:t>
      </w:r>
    </w:p>
    <w:p w14:paraId="5F2DBA4F" w14:textId="3EF5F3DE" w:rsidR="00A546C6" w:rsidRDefault="00CF565D" w:rsidP="00CF565D">
      <w:pPr>
        <w:ind w:left="720" w:hanging="720"/>
        <w:rPr>
          <w:rFonts w:ascii="Arial" w:hAnsi="Arial" w:cs="Arial"/>
        </w:rPr>
      </w:pPr>
      <w:r>
        <w:rPr>
          <w:rFonts w:ascii="Arial" w:hAnsi="Arial" w:cs="Arial"/>
        </w:rPr>
        <w:t>3.7</w:t>
      </w:r>
      <w:r>
        <w:rPr>
          <w:rFonts w:ascii="Arial" w:hAnsi="Arial" w:cs="Arial"/>
        </w:rPr>
        <w:tab/>
      </w:r>
      <w:r w:rsidR="00A546C6" w:rsidRPr="00A546C6">
        <w:rPr>
          <w:rFonts w:ascii="Arial" w:hAnsi="Arial" w:cs="Arial"/>
        </w:rPr>
        <w:t xml:space="preserve">Although </w:t>
      </w:r>
      <w:r w:rsidR="00BA3253">
        <w:rPr>
          <w:rFonts w:ascii="Arial" w:hAnsi="Arial" w:cs="Arial"/>
        </w:rPr>
        <w:t xml:space="preserve">there are </w:t>
      </w:r>
      <w:r w:rsidR="00A546C6" w:rsidRPr="00A546C6">
        <w:rPr>
          <w:rFonts w:ascii="Arial" w:hAnsi="Arial" w:cs="Arial"/>
        </w:rPr>
        <w:t>other options</w:t>
      </w:r>
      <w:r w:rsidR="00B27A6E">
        <w:rPr>
          <w:rFonts w:ascii="Arial" w:hAnsi="Arial" w:cs="Arial"/>
        </w:rPr>
        <w:t xml:space="preserve"> open to Parliament, </w:t>
      </w:r>
      <w:r w:rsidR="00BA3253">
        <w:rPr>
          <w:rFonts w:ascii="Arial" w:hAnsi="Arial" w:cs="Arial"/>
        </w:rPr>
        <w:t xml:space="preserve">for the purposes of assessing the data protection implications of Brexit, </w:t>
      </w:r>
      <w:r w:rsidR="00A546C6" w:rsidRPr="00A546C6">
        <w:rPr>
          <w:rFonts w:ascii="Arial" w:hAnsi="Arial" w:cs="Arial"/>
        </w:rPr>
        <w:t xml:space="preserve">this report focuses </w:t>
      </w:r>
      <w:r w:rsidR="002C016F">
        <w:rPr>
          <w:rFonts w:ascii="Arial" w:hAnsi="Arial" w:cs="Arial"/>
        </w:rPr>
        <w:t xml:space="preserve">only on </w:t>
      </w:r>
      <w:r w:rsidR="00F2021D">
        <w:rPr>
          <w:rFonts w:ascii="Arial" w:hAnsi="Arial" w:cs="Arial"/>
        </w:rPr>
        <w:t>the UK</w:t>
      </w:r>
      <w:r w:rsidR="00A546C6">
        <w:rPr>
          <w:rFonts w:ascii="Arial" w:hAnsi="Arial" w:cs="Arial"/>
        </w:rPr>
        <w:t>:</w:t>
      </w:r>
    </w:p>
    <w:p w14:paraId="78514409" w14:textId="77777777" w:rsidR="00A546C6" w:rsidRPr="00A546C6" w:rsidRDefault="00A546C6">
      <w:pPr>
        <w:rPr>
          <w:rFonts w:ascii="Arial" w:hAnsi="Arial" w:cs="Arial"/>
        </w:rPr>
      </w:pPr>
      <w:r w:rsidRPr="00A546C6">
        <w:rPr>
          <w:rFonts w:ascii="Arial" w:hAnsi="Arial" w:cs="Arial"/>
        </w:rPr>
        <w:t xml:space="preserve"> </w:t>
      </w:r>
    </w:p>
    <w:p w14:paraId="60ABF737" w14:textId="22077913" w:rsidR="00A546C6" w:rsidRPr="00A546C6" w:rsidRDefault="00A546C6" w:rsidP="007A585D">
      <w:pPr>
        <w:pStyle w:val="ListParagraph"/>
        <w:numPr>
          <w:ilvl w:val="0"/>
          <w:numId w:val="2"/>
        </w:numPr>
        <w:rPr>
          <w:rFonts w:ascii="Arial" w:hAnsi="Arial" w:cs="Arial"/>
        </w:rPr>
      </w:pPr>
      <w:r w:rsidRPr="00A546C6">
        <w:rPr>
          <w:rFonts w:ascii="Arial" w:hAnsi="Arial" w:cs="Arial"/>
        </w:rPr>
        <w:t xml:space="preserve">leaving </w:t>
      </w:r>
      <w:r w:rsidR="00FC17AD">
        <w:rPr>
          <w:rFonts w:ascii="Arial" w:hAnsi="Arial" w:cs="Arial"/>
        </w:rPr>
        <w:t xml:space="preserve">the EU on the basis of an agreed </w:t>
      </w:r>
      <w:r w:rsidR="00F6304B">
        <w:rPr>
          <w:rFonts w:ascii="Arial" w:hAnsi="Arial" w:cs="Arial"/>
        </w:rPr>
        <w:t>Withdrawal Agreement</w:t>
      </w:r>
      <w:r w:rsidR="00BA3253">
        <w:rPr>
          <w:rFonts w:ascii="Arial" w:hAnsi="Arial" w:cs="Arial"/>
        </w:rPr>
        <w:t>;</w:t>
      </w:r>
      <w:r w:rsidRPr="00A546C6">
        <w:rPr>
          <w:rFonts w:ascii="Arial" w:hAnsi="Arial" w:cs="Arial"/>
        </w:rPr>
        <w:t xml:space="preserve"> </w:t>
      </w:r>
    </w:p>
    <w:p w14:paraId="4037F330" w14:textId="52D95C65" w:rsidR="00A546C6" w:rsidRPr="00A546C6" w:rsidRDefault="00F6304B" w:rsidP="007A585D">
      <w:pPr>
        <w:pStyle w:val="ListParagraph"/>
        <w:numPr>
          <w:ilvl w:val="0"/>
          <w:numId w:val="2"/>
        </w:numPr>
        <w:rPr>
          <w:rFonts w:ascii="Arial" w:hAnsi="Arial" w:cs="Arial"/>
        </w:rPr>
      </w:pPr>
      <w:r>
        <w:rPr>
          <w:rFonts w:ascii="Arial" w:hAnsi="Arial" w:cs="Arial"/>
        </w:rPr>
        <w:t xml:space="preserve">leaving </w:t>
      </w:r>
      <w:r w:rsidR="00F2021D">
        <w:rPr>
          <w:rFonts w:ascii="Arial" w:hAnsi="Arial" w:cs="Arial"/>
        </w:rPr>
        <w:t xml:space="preserve">the EU </w:t>
      </w:r>
      <w:r w:rsidR="00A546C6" w:rsidRPr="00A546C6">
        <w:rPr>
          <w:rFonts w:ascii="Arial" w:hAnsi="Arial" w:cs="Arial"/>
        </w:rPr>
        <w:t>without a deal</w:t>
      </w:r>
      <w:r w:rsidR="00BA3253">
        <w:rPr>
          <w:rFonts w:ascii="Arial" w:hAnsi="Arial" w:cs="Arial"/>
        </w:rPr>
        <w:t>.</w:t>
      </w:r>
      <w:r w:rsidR="00A546C6" w:rsidRPr="00A546C6">
        <w:rPr>
          <w:rFonts w:ascii="Arial" w:hAnsi="Arial" w:cs="Arial"/>
        </w:rPr>
        <w:t xml:space="preserve"> </w:t>
      </w:r>
    </w:p>
    <w:p w14:paraId="3D795C18" w14:textId="77777777" w:rsidR="00A546C6" w:rsidRDefault="00A546C6"/>
    <w:p w14:paraId="7A826F61" w14:textId="77777777" w:rsidR="004B487F" w:rsidRDefault="004B487F">
      <w:pPr>
        <w:rPr>
          <w:rFonts w:ascii="Arial" w:hAnsi="Arial" w:cs="Arial"/>
          <w:b/>
        </w:rPr>
      </w:pPr>
    </w:p>
    <w:p w14:paraId="24A828F5" w14:textId="4ECDA68D" w:rsidR="00907457" w:rsidRPr="00907457" w:rsidRDefault="00CF565D">
      <w:pPr>
        <w:rPr>
          <w:rFonts w:ascii="Arial" w:hAnsi="Arial" w:cs="Arial"/>
          <w:b/>
        </w:rPr>
      </w:pPr>
      <w:r>
        <w:rPr>
          <w:rFonts w:ascii="Arial" w:hAnsi="Arial" w:cs="Arial"/>
          <w:b/>
        </w:rPr>
        <w:t>4.0</w:t>
      </w:r>
      <w:r>
        <w:rPr>
          <w:rFonts w:ascii="Arial" w:hAnsi="Arial" w:cs="Arial"/>
          <w:b/>
        </w:rPr>
        <w:tab/>
      </w:r>
      <w:r w:rsidR="00907457" w:rsidRPr="00907457">
        <w:rPr>
          <w:rFonts w:ascii="Arial" w:hAnsi="Arial" w:cs="Arial"/>
          <w:b/>
        </w:rPr>
        <w:t>Leaving the EU on basis of an agreed deal</w:t>
      </w:r>
    </w:p>
    <w:p w14:paraId="2445548F" w14:textId="77777777" w:rsidR="00907457" w:rsidRDefault="00907457">
      <w:pPr>
        <w:rPr>
          <w:rFonts w:ascii="Arial" w:hAnsi="Arial" w:cs="Arial"/>
        </w:rPr>
      </w:pPr>
    </w:p>
    <w:p w14:paraId="2665598D" w14:textId="75323CC5" w:rsidR="00B27A6E" w:rsidRDefault="00CF565D" w:rsidP="00F6304B">
      <w:pPr>
        <w:ind w:left="720" w:hanging="720"/>
        <w:rPr>
          <w:rFonts w:ascii="Arial" w:hAnsi="Arial" w:cs="Arial"/>
        </w:rPr>
      </w:pPr>
      <w:r>
        <w:rPr>
          <w:rFonts w:ascii="Arial" w:hAnsi="Arial" w:cs="Arial"/>
        </w:rPr>
        <w:t>4.1</w:t>
      </w:r>
      <w:r>
        <w:rPr>
          <w:rFonts w:ascii="Arial" w:hAnsi="Arial" w:cs="Arial"/>
        </w:rPr>
        <w:tab/>
      </w:r>
      <w:r w:rsidR="00B27A6E">
        <w:rPr>
          <w:rFonts w:ascii="Arial" w:hAnsi="Arial" w:cs="Arial"/>
        </w:rPr>
        <w:t>Once the UK leaves the EU, the GDPR no longer has direct effect in the UK.</w:t>
      </w:r>
    </w:p>
    <w:p w14:paraId="19294101" w14:textId="77777777" w:rsidR="00B27A6E" w:rsidRDefault="00B27A6E">
      <w:pPr>
        <w:rPr>
          <w:rFonts w:ascii="Arial" w:hAnsi="Arial" w:cs="Arial"/>
        </w:rPr>
      </w:pPr>
    </w:p>
    <w:p w14:paraId="5EAF817A" w14:textId="0E3BC1A9" w:rsidR="00D86C57" w:rsidRDefault="00CF565D" w:rsidP="00CF565D">
      <w:pPr>
        <w:ind w:left="720" w:hanging="720"/>
        <w:rPr>
          <w:rFonts w:ascii="Arial" w:hAnsi="Arial" w:cs="Arial"/>
        </w:rPr>
      </w:pPr>
      <w:r>
        <w:rPr>
          <w:rFonts w:ascii="Arial" w:hAnsi="Arial" w:cs="Arial"/>
        </w:rPr>
        <w:t>4.2</w:t>
      </w:r>
      <w:r>
        <w:rPr>
          <w:rFonts w:ascii="Arial" w:hAnsi="Arial" w:cs="Arial"/>
        </w:rPr>
        <w:tab/>
      </w:r>
      <w:r w:rsidR="00EB1830">
        <w:rPr>
          <w:rFonts w:ascii="Arial" w:hAnsi="Arial" w:cs="Arial"/>
        </w:rPr>
        <w:t>However, s</w:t>
      </w:r>
      <w:r w:rsidR="00B27A6E">
        <w:rPr>
          <w:rFonts w:ascii="Arial" w:hAnsi="Arial" w:cs="Arial"/>
        </w:rPr>
        <w:t xml:space="preserve">ection 3 of the </w:t>
      </w:r>
      <w:r w:rsidR="00B27A6E" w:rsidRPr="00B27A6E">
        <w:rPr>
          <w:rFonts w:ascii="Arial" w:hAnsi="Arial" w:cs="Arial"/>
        </w:rPr>
        <w:t>European Union (Withdrawal) Act 2018</w:t>
      </w:r>
      <w:r w:rsidR="00B27A6E">
        <w:rPr>
          <w:rFonts w:ascii="Arial" w:hAnsi="Arial" w:cs="Arial"/>
        </w:rPr>
        <w:t xml:space="preserve"> makes provision for the implementation of all direct EU legislation, including the GDPR, into national law. </w:t>
      </w:r>
    </w:p>
    <w:p w14:paraId="0E07156B" w14:textId="77777777" w:rsidR="00D86C57" w:rsidRDefault="00D86C57">
      <w:pPr>
        <w:rPr>
          <w:rFonts w:ascii="Arial" w:hAnsi="Arial" w:cs="Arial"/>
        </w:rPr>
      </w:pPr>
    </w:p>
    <w:p w14:paraId="40CD5328" w14:textId="485E9AA2" w:rsidR="00B27A6E" w:rsidRDefault="00CF565D" w:rsidP="00CF565D">
      <w:pPr>
        <w:ind w:left="720" w:hanging="720"/>
        <w:rPr>
          <w:rFonts w:ascii="Arial" w:hAnsi="Arial" w:cs="Arial"/>
        </w:rPr>
      </w:pPr>
      <w:r>
        <w:rPr>
          <w:rFonts w:ascii="Arial" w:hAnsi="Arial" w:cs="Arial"/>
        </w:rPr>
        <w:t>4.3</w:t>
      </w:r>
      <w:r>
        <w:rPr>
          <w:rFonts w:ascii="Arial" w:hAnsi="Arial" w:cs="Arial"/>
        </w:rPr>
        <w:tab/>
      </w:r>
      <w:r w:rsidR="00B27A6E">
        <w:rPr>
          <w:rFonts w:ascii="Arial" w:hAnsi="Arial" w:cs="Arial"/>
        </w:rPr>
        <w:t xml:space="preserve">This allows for decisions to be made </w:t>
      </w:r>
      <w:r w:rsidR="00F6304B">
        <w:rPr>
          <w:rFonts w:ascii="Arial" w:hAnsi="Arial" w:cs="Arial"/>
        </w:rPr>
        <w:t>(</w:t>
      </w:r>
      <w:r w:rsidR="00FC17AD">
        <w:rPr>
          <w:rFonts w:ascii="Arial" w:hAnsi="Arial" w:cs="Arial"/>
        </w:rPr>
        <w:t>when time permits</w:t>
      </w:r>
      <w:r w:rsidR="00F6304B">
        <w:rPr>
          <w:rFonts w:ascii="Arial" w:hAnsi="Arial" w:cs="Arial"/>
        </w:rPr>
        <w:t>)</w:t>
      </w:r>
      <w:r w:rsidR="00FC17AD">
        <w:rPr>
          <w:rFonts w:ascii="Arial" w:hAnsi="Arial" w:cs="Arial"/>
        </w:rPr>
        <w:t xml:space="preserve"> </w:t>
      </w:r>
      <w:r w:rsidR="00B27A6E">
        <w:rPr>
          <w:rFonts w:ascii="Arial" w:hAnsi="Arial" w:cs="Arial"/>
        </w:rPr>
        <w:t xml:space="preserve">as to the legislative changes needed </w:t>
      </w:r>
      <w:r w:rsidR="00FC17AD">
        <w:rPr>
          <w:rFonts w:ascii="Arial" w:hAnsi="Arial" w:cs="Arial"/>
        </w:rPr>
        <w:t>once operating solely in a U</w:t>
      </w:r>
      <w:r w:rsidR="00B27A6E">
        <w:rPr>
          <w:rFonts w:ascii="Arial" w:hAnsi="Arial" w:cs="Arial"/>
        </w:rPr>
        <w:t xml:space="preserve">K jurisdictional context.  </w:t>
      </w:r>
    </w:p>
    <w:p w14:paraId="1FFC0298" w14:textId="77777777" w:rsidR="00B27A6E" w:rsidRDefault="00B27A6E">
      <w:pPr>
        <w:rPr>
          <w:rFonts w:ascii="Arial" w:hAnsi="Arial" w:cs="Arial"/>
        </w:rPr>
      </w:pPr>
    </w:p>
    <w:p w14:paraId="63F060EE" w14:textId="67EDA0CD" w:rsidR="00EF76A7" w:rsidRDefault="00CF565D" w:rsidP="00CF565D">
      <w:pPr>
        <w:ind w:left="720" w:hanging="720"/>
        <w:rPr>
          <w:rFonts w:ascii="Arial" w:hAnsi="Arial" w:cs="Arial"/>
        </w:rPr>
      </w:pPr>
      <w:r>
        <w:rPr>
          <w:rFonts w:ascii="Arial" w:hAnsi="Arial" w:cs="Arial"/>
        </w:rPr>
        <w:t>4.4</w:t>
      </w:r>
      <w:r>
        <w:rPr>
          <w:rFonts w:ascii="Arial" w:hAnsi="Arial" w:cs="Arial"/>
        </w:rPr>
        <w:tab/>
      </w:r>
      <w:r w:rsidR="00D86C57">
        <w:rPr>
          <w:rFonts w:ascii="Arial" w:hAnsi="Arial" w:cs="Arial"/>
        </w:rPr>
        <w:t xml:space="preserve">The draft </w:t>
      </w:r>
      <w:r w:rsidR="00AB1E1D" w:rsidRPr="00AB1E1D">
        <w:rPr>
          <w:rFonts w:ascii="Arial" w:hAnsi="Arial" w:cs="Arial"/>
        </w:rPr>
        <w:t xml:space="preserve">Withdrawal Agreement negotiated by the UK </w:t>
      </w:r>
      <w:r w:rsidR="00D86C57">
        <w:rPr>
          <w:rFonts w:ascii="Arial" w:hAnsi="Arial" w:cs="Arial"/>
        </w:rPr>
        <w:t>G</w:t>
      </w:r>
      <w:r w:rsidR="00AB1E1D" w:rsidRPr="00AB1E1D">
        <w:rPr>
          <w:rFonts w:ascii="Arial" w:hAnsi="Arial" w:cs="Arial"/>
        </w:rPr>
        <w:t xml:space="preserve">overnment and the EU </w:t>
      </w:r>
      <w:r w:rsidR="00D86C57">
        <w:rPr>
          <w:rFonts w:ascii="Arial" w:hAnsi="Arial" w:cs="Arial"/>
        </w:rPr>
        <w:t xml:space="preserve">which Parliament is to </w:t>
      </w:r>
      <w:r w:rsidR="00EF76A7">
        <w:rPr>
          <w:rFonts w:ascii="Arial" w:hAnsi="Arial" w:cs="Arial"/>
        </w:rPr>
        <w:t xml:space="preserve">vote on </w:t>
      </w:r>
      <w:r w:rsidR="00907457">
        <w:rPr>
          <w:rFonts w:ascii="Arial" w:hAnsi="Arial" w:cs="Arial"/>
        </w:rPr>
        <w:t>before 21</w:t>
      </w:r>
      <w:r w:rsidR="00907457" w:rsidRPr="00907457">
        <w:rPr>
          <w:rFonts w:ascii="Arial" w:hAnsi="Arial" w:cs="Arial"/>
          <w:vertAlign w:val="superscript"/>
        </w:rPr>
        <w:t>st</w:t>
      </w:r>
      <w:r w:rsidR="00907457">
        <w:rPr>
          <w:rFonts w:ascii="Arial" w:hAnsi="Arial" w:cs="Arial"/>
        </w:rPr>
        <w:t xml:space="preserve"> January 2019, </w:t>
      </w:r>
      <w:r w:rsidR="00EF76A7">
        <w:rPr>
          <w:rFonts w:ascii="Arial" w:hAnsi="Arial" w:cs="Arial"/>
        </w:rPr>
        <w:t xml:space="preserve">includes provision for a two year </w:t>
      </w:r>
      <w:r w:rsidR="00AB1E1D" w:rsidRPr="00AB1E1D">
        <w:rPr>
          <w:rFonts w:ascii="Arial" w:hAnsi="Arial" w:cs="Arial"/>
        </w:rPr>
        <w:t>transition period</w:t>
      </w:r>
      <w:r w:rsidR="00EF76A7">
        <w:rPr>
          <w:rFonts w:ascii="Arial" w:hAnsi="Arial" w:cs="Arial"/>
        </w:rPr>
        <w:t xml:space="preserve">. </w:t>
      </w:r>
    </w:p>
    <w:p w14:paraId="17C36F2B" w14:textId="77777777" w:rsidR="00EF76A7" w:rsidRDefault="00EF76A7">
      <w:pPr>
        <w:rPr>
          <w:rFonts w:ascii="Arial" w:hAnsi="Arial" w:cs="Arial"/>
        </w:rPr>
      </w:pPr>
    </w:p>
    <w:p w14:paraId="3F8C7CE5" w14:textId="4F4C24A1" w:rsidR="00EF76A7" w:rsidRDefault="00CF565D" w:rsidP="00CF565D">
      <w:pPr>
        <w:ind w:left="720" w:hanging="720"/>
        <w:rPr>
          <w:rFonts w:ascii="Arial" w:hAnsi="Arial" w:cs="Arial"/>
        </w:rPr>
      </w:pPr>
      <w:r>
        <w:rPr>
          <w:rFonts w:ascii="Arial" w:hAnsi="Arial" w:cs="Arial"/>
        </w:rPr>
        <w:t>4.5</w:t>
      </w:r>
      <w:r>
        <w:rPr>
          <w:rFonts w:ascii="Arial" w:hAnsi="Arial" w:cs="Arial"/>
        </w:rPr>
        <w:tab/>
      </w:r>
      <w:r w:rsidR="00EF76A7">
        <w:rPr>
          <w:rFonts w:ascii="Arial" w:hAnsi="Arial" w:cs="Arial"/>
        </w:rPr>
        <w:t>For the duration of th</w:t>
      </w:r>
      <w:r w:rsidR="00AC1DFB">
        <w:rPr>
          <w:rFonts w:ascii="Arial" w:hAnsi="Arial" w:cs="Arial"/>
        </w:rPr>
        <w:t>at</w:t>
      </w:r>
      <w:r w:rsidR="00EF76A7">
        <w:rPr>
          <w:rFonts w:ascii="Arial" w:hAnsi="Arial" w:cs="Arial"/>
        </w:rPr>
        <w:t xml:space="preserve"> period, </w:t>
      </w:r>
      <w:r w:rsidR="003454B2">
        <w:rPr>
          <w:rFonts w:ascii="Arial" w:hAnsi="Arial" w:cs="Arial"/>
        </w:rPr>
        <w:t xml:space="preserve">it is generally acknowledged that </w:t>
      </w:r>
      <w:r w:rsidR="00EF76A7">
        <w:rPr>
          <w:rFonts w:ascii="Arial" w:hAnsi="Arial" w:cs="Arial"/>
        </w:rPr>
        <w:t xml:space="preserve">this </w:t>
      </w:r>
      <w:r w:rsidR="00EB1830">
        <w:rPr>
          <w:rFonts w:ascii="Arial" w:hAnsi="Arial" w:cs="Arial"/>
        </w:rPr>
        <w:t xml:space="preserve">would </w:t>
      </w:r>
      <w:r w:rsidR="00EF76A7">
        <w:rPr>
          <w:rFonts w:ascii="Arial" w:hAnsi="Arial" w:cs="Arial"/>
        </w:rPr>
        <w:t>mean:</w:t>
      </w:r>
    </w:p>
    <w:p w14:paraId="0BA0207B" w14:textId="77777777" w:rsidR="00EF76A7" w:rsidRDefault="00EF76A7">
      <w:pPr>
        <w:rPr>
          <w:rFonts w:ascii="Arial" w:hAnsi="Arial" w:cs="Arial"/>
        </w:rPr>
      </w:pPr>
    </w:p>
    <w:p w14:paraId="190AC682" w14:textId="09D2658E" w:rsidR="00EF76A7" w:rsidRPr="00EF76A7" w:rsidRDefault="00EF76A7" w:rsidP="007A585D">
      <w:pPr>
        <w:pStyle w:val="ListParagraph"/>
        <w:numPr>
          <w:ilvl w:val="0"/>
          <w:numId w:val="5"/>
        </w:numPr>
        <w:rPr>
          <w:rFonts w:ascii="Arial" w:hAnsi="Arial" w:cs="Arial"/>
        </w:rPr>
      </w:pPr>
      <w:r w:rsidRPr="00EF76A7">
        <w:rPr>
          <w:rFonts w:ascii="Arial" w:hAnsi="Arial" w:cs="Arial"/>
        </w:rPr>
        <w:t xml:space="preserve">EU laws </w:t>
      </w:r>
      <w:r w:rsidRPr="00025E3B">
        <w:rPr>
          <w:rFonts w:ascii="Arial" w:hAnsi="Arial" w:cs="Arial"/>
        </w:rPr>
        <w:t>(</w:t>
      </w:r>
      <w:r w:rsidR="00FC17AD" w:rsidRPr="00025E3B">
        <w:rPr>
          <w:rFonts w:ascii="Arial" w:hAnsi="Arial" w:cs="Arial"/>
        </w:rPr>
        <w:t xml:space="preserve">including </w:t>
      </w:r>
      <w:r w:rsidRPr="00025E3B">
        <w:rPr>
          <w:rFonts w:ascii="Arial" w:hAnsi="Arial" w:cs="Arial"/>
        </w:rPr>
        <w:t>the jurisdiction of the CJE</w:t>
      </w:r>
      <w:r w:rsidR="00FC17AD" w:rsidRPr="00025E3B">
        <w:rPr>
          <w:rFonts w:ascii="Arial" w:hAnsi="Arial" w:cs="Arial"/>
        </w:rPr>
        <w:t>U</w:t>
      </w:r>
      <w:r w:rsidRPr="00025E3B">
        <w:rPr>
          <w:rFonts w:ascii="Arial" w:hAnsi="Arial" w:cs="Arial"/>
        </w:rPr>
        <w:t>)</w:t>
      </w:r>
      <w:r w:rsidRPr="00EF76A7">
        <w:rPr>
          <w:rFonts w:ascii="Arial" w:hAnsi="Arial" w:cs="Arial"/>
        </w:rPr>
        <w:t xml:space="preserve"> continue to apply to the UK;</w:t>
      </w:r>
    </w:p>
    <w:p w14:paraId="4D6E2911" w14:textId="168BE0A8" w:rsidR="00EF76A7" w:rsidRPr="00EF76A7" w:rsidRDefault="00EF76A7" w:rsidP="007A585D">
      <w:pPr>
        <w:pStyle w:val="ListParagraph"/>
        <w:numPr>
          <w:ilvl w:val="0"/>
          <w:numId w:val="5"/>
        </w:numPr>
        <w:rPr>
          <w:rFonts w:ascii="Arial" w:hAnsi="Arial" w:cs="Arial"/>
        </w:rPr>
      </w:pPr>
      <w:r w:rsidRPr="00EF76A7">
        <w:rPr>
          <w:rFonts w:ascii="Arial" w:hAnsi="Arial" w:cs="Arial"/>
        </w:rPr>
        <w:t xml:space="preserve">the UK </w:t>
      </w:r>
      <w:r w:rsidR="00EB1830">
        <w:rPr>
          <w:rFonts w:ascii="Arial" w:hAnsi="Arial" w:cs="Arial"/>
        </w:rPr>
        <w:t xml:space="preserve">is </w:t>
      </w:r>
      <w:r w:rsidRPr="00EF76A7">
        <w:rPr>
          <w:rFonts w:ascii="Arial" w:hAnsi="Arial" w:cs="Arial"/>
        </w:rPr>
        <w:t xml:space="preserve">treated </w:t>
      </w:r>
      <w:r w:rsidR="00FC17AD">
        <w:rPr>
          <w:rFonts w:ascii="Arial" w:hAnsi="Arial" w:cs="Arial"/>
        </w:rPr>
        <w:t xml:space="preserve">in most respects </w:t>
      </w:r>
      <w:r w:rsidRPr="00EF76A7">
        <w:rPr>
          <w:rFonts w:ascii="Arial" w:hAnsi="Arial" w:cs="Arial"/>
        </w:rPr>
        <w:t xml:space="preserve">as if </w:t>
      </w:r>
      <w:r w:rsidR="00EB1830">
        <w:rPr>
          <w:rFonts w:ascii="Arial" w:hAnsi="Arial" w:cs="Arial"/>
        </w:rPr>
        <w:t xml:space="preserve">it </w:t>
      </w:r>
      <w:r w:rsidR="00FC17AD">
        <w:rPr>
          <w:rFonts w:ascii="Arial" w:hAnsi="Arial" w:cs="Arial"/>
        </w:rPr>
        <w:t xml:space="preserve">remains </w:t>
      </w:r>
      <w:r w:rsidR="00F2021D">
        <w:rPr>
          <w:rFonts w:ascii="Arial" w:hAnsi="Arial" w:cs="Arial"/>
        </w:rPr>
        <w:t xml:space="preserve">as </w:t>
      </w:r>
      <w:r w:rsidRPr="00EF76A7">
        <w:rPr>
          <w:rFonts w:ascii="Arial" w:hAnsi="Arial" w:cs="Arial"/>
        </w:rPr>
        <w:t>a Member State for the purposes of EU laws, including the GDPR</w:t>
      </w:r>
      <w:r>
        <w:rPr>
          <w:rFonts w:ascii="Arial" w:hAnsi="Arial" w:cs="Arial"/>
        </w:rPr>
        <w:t>.</w:t>
      </w:r>
    </w:p>
    <w:p w14:paraId="162A41BA" w14:textId="77777777" w:rsidR="00EF76A7" w:rsidRDefault="00EF76A7">
      <w:pPr>
        <w:rPr>
          <w:rFonts w:ascii="Arial" w:hAnsi="Arial" w:cs="Arial"/>
        </w:rPr>
      </w:pPr>
    </w:p>
    <w:p w14:paraId="6E283A29" w14:textId="40D35BDF" w:rsidR="00EF76A7" w:rsidRDefault="00CF565D" w:rsidP="00CF565D">
      <w:pPr>
        <w:ind w:left="720" w:hanging="720"/>
        <w:rPr>
          <w:rFonts w:ascii="Arial" w:hAnsi="Arial" w:cs="Arial"/>
        </w:rPr>
      </w:pPr>
      <w:r>
        <w:rPr>
          <w:rFonts w:ascii="Arial" w:hAnsi="Arial" w:cs="Arial"/>
        </w:rPr>
        <w:t>4.6</w:t>
      </w:r>
      <w:r>
        <w:rPr>
          <w:rFonts w:ascii="Arial" w:hAnsi="Arial" w:cs="Arial"/>
        </w:rPr>
        <w:tab/>
      </w:r>
      <w:r w:rsidR="00EF76A7">
        <w:rPr>
          <w:rFonts w:ascii="Arial" w:hAnsi="Arial" w:cs="Arial"/>
        </w:rPr>
        <w:t>On this basis</w:t>
      </w:r>
      <w:r w:rsidR="00EB1830">
        <w:rPr>
          <w:rFonts w:ascii="Arial" w:hAnsi="Arial" w:cs="Arial"/>
        </w:rPr>
        <w:t xml:space="preserve">, </w:t>
      </w:r>
      <w:r w:rsidR="00F6304B">
        <w:rPr>
          <w:rFonts w:ascii="Arial" w:hAnsi="Arial" w:cs="Arial"/>
        </w:rPr>
        <w:t xml:space="preserve">the intention is </w:t>
      </w:r>
      <w:r w:rsidR="00EB1830">
        <w:rPr>
          <w:rFonts w:ascii="Arial" w:hAnsi="Arial" w:cs="Arial"/>
        </w:rPr>
        <w:t>that</w:t>
      </w:r>
      <w:r w:rsidR="00EF76A7">
        <w:rPr>
          <w:rFonts w:ascii="Arial" w:hAnsi="Arial" w:cs="Arial"/>
        </w:rPr>
        <w:t xml:space="preserve"> the UK would not be treated as a </w:t>
      </w:r>
      <w:r w:rsidR="003454B2">
        <w:rPr>
          <w:rFonts w:ascii="Arial" w:hAnsi="Arial" w:cs="Arial"/>
        </w:rPr>
        <w:t>‘</w:t>
      </w:r>
      <w:r w:rsidR="00EF76A7">
        <w:rPr>
          <w:rFonts w:ascii="Arial" w:hAnsi="Arial" w:cs="Arial"/>
        </w:rPr>
        <w:t>third country</w:t>
      </w:r>
      <w:r w:rsidR="003454B2">
        <w:rPr>
          <w:rFonts w:ascii="Arial" w:hAnsi="Arial" w:cs="Arial"/>
        </w:rPr>
        <w:t>’</w:t>
      </w:r>
      <w:r w:rsidR="00EF76A7">
        <w:rPr>
          <w:rFonts w:ascii="Arial" w:hAnsi="Arial" w:cs="Arial"/>
        </w:rPr>
        <w:t xml:space="preserve"> for data transfer purposes until </w:t>
      </w:r>
      <w:r w:rsidR="00EB1830">
        <w:rPr>
          <w:rFonts w:ascii="Arial" w:hAnsi="Arial" w:cs="Arial"/>
        </w:rPr>
        <w:t xml:space="preserve">at least </w:t>
      </w:r>
      <w:r w:rsidR="00EF76A7">
        <w:rPr>
          <w:rFonts w:ascii="Arial" w:hAnsi="Arial" w:cs="Arial"/>
        </w:rPr>
        <w:t>1</w:t>
      </w:r>
      <w:r w:rsidR="00EF76A7" w:rsidRPr="00EF76A7">
        <w:rPr>
          <w:rFonts w:ascii="Arial" w:hAnsi="Arial" w:cs="Arial"/>
          <w:vertAlign w:val="superscript"/>
        </w:rPr>
        <w:t>st</w:t>
      </w:r>
      <w:r w:rsidR="00EF76A7">
        <w:rPr>
          <w:rFonts w:ascii="Arial" w:hAnsi="Arial" w:cs="Arial"/>
        </w:rPr>
        <w:t xml:space="preserve"> January 2021 and</w:t>
      </w:r>
      <w:r w:rsidR="003454B2">
        <w:rPr>
          <w:rFonts w:ascii="Arial" w:hAnsi="Arial" w:cs="Arial"/>
        </w:rPr>
        <w:t xml:space="preserve"> that </w:t>
      </w:r>
      <w:r w:rsidR="00EF76A7">
        <w:rPr>
          <w:rFonts w:ascii="Arial" w:hAnsi="Arial" w:cs="Arial"/>
        </w:rPr>
        <w:t>personal data would continue to flow without interruption</w:t>
      </w:r>
      <w:r w:rsidR="003454B2">
        <w:rPr>
          <w:rFonts w:ascii="Arial" w:hAnsi="Arial" w:cs="Arial"/>
        </w:rPr>
        <w:t>,</w:t>
      </w:r>
      <w:r w:rsidR="00EF76A7">
        <w:rPr>
          <w:rFonts w:ascii="Arial" w:hAnsi="Arial" w:cs="Arial"/>
        </w:rPr>
        <w:t xml:space="preserve"> as now</w:t>
      </w:r>
      <w:r w:rsidR="003454B2">
        <w:rPr>
          <w:rFonts w:ascii="Arial" w:hAnsi="Arial" w:cs="Arial"/>
        </w:rPr>
        <w:t>,</w:t>
      </w:r>
      <w:r w:rsidR="00EF76A7">
        <w:rPr>
          <w:rFonts w:ascii="Arial" w:hAnsi="Arial" w:cs="Arial"/>
        </w:rPr>
        <w:t xml:space="preserve"> without the need for any </w:t>
      </w:r>
      <w:r w:rsidR="003454B2">
        <w:rPr>
          <w:rFonts w:ascii="Arial" w:hAnsi="Arial" w:cs="Arial"/>
        </w:rPr>
        <w:t xml:space="preserve">additional </w:t>
      </w:r>
      <w:r w:rsidR="00EF76A7">
        <w:rPr>
          <w:rFonts w:ascii="Arial" w:hAnsi="Arial" w:cs="Arial"/>
        </w:rPr>
        <w:t xml:space="preserve">safeguards </w:t>
      </w:r>
      <w:r w:rsidR="003454B2">
        <w:rPr>
          <w:rFonts w:ascii="Arial" w:hAnsi="Arial" w:cs="Arial"/>
        </w:rPr>
        <w:t>and</w:t>
      </w:r>
      <w:r w:rsidR="0053135E">
        <w:rPr>
          <w:rFonts w:ascii="Arial" w:hAnsi="Arial" w:cs="Arial"/>
        </w:rPr>
        <w:t>/or</w:t>
      </w:r>
      <w:r w:rsidR="00EF76A7">
        <w:rPr>
          <w:rFonts w:ascii="Arial" w:hAnsi="Arial" w:cs="Arial"/>
        </w:rPr>
        <w:t xml:space="preserve"> documentation.</w:t>
      </w:r>
    </w:p>
    <w:p w14:paraId="184C1C93" w14:textId="77777777" w:rsidR="00EF76A7" w:rsidRDefault="00EF76A7">
      <w:pPr>
        <w:rPr>
          <w:rFonts w:ascii="Arial" w:hAnsi="Arial" w:cs="Arial"/>
        </w:rPr>
      </w:pPr>
    </w:p>
    <w:p w14:paraId="3AF0F99C" w14:textId="54340DD5" w:rsidR="000E42F7" w:rsidRDefault="00CF565D" w:rsidP="00CF565D">
      <w:pPr>
        <w:ind w:left="720" w:hanging="720"/>
        <w:rPr>
          <w:rFonts w:ascii="Arial" w:hAnsi="Arial" w:cs="Arial"/>
        </w:rPr>
      </w:pPr>
      <w:r>
        <w:rPr>
          <w:rFonts w:ascii="Arial" w:hAnsi="Arial" w:cs="Arial"/>
        </w:rPr>
        <w:t>4.7</w:t>
      </w:r>
      <w:r>
        <w:rPr>
          <w:rFonts w:ascii="Arial" w:hAnsi="Arial" w:cs="Arial"/>
        </w:rPr>
        <w:tab/>
      </w:r>
      <w:r w:rsidR="00EF76A7">
        <w:rPr>
          <w:rFonts w:ascii="Arial" w:hAnsi="Arial" w:cs="Arial"/>
        </w:rPr>
        <w:t xml:space="preserve">The assumption is that during </w:t>
      </w:r>
      <w:r w:rsidR="00907457">
        <w:rPr>
          <w:rFonts w:ascii="Arial" w:hAnsi="Arial" w:cs="Arial"/>
        </w:rPr>
        <w:t xml:space="preserve">such a </w:t>
      </w:r>
      <w:r w:rsidR="00EF76A7">
        <w:rPr>
          <w:rFonts w:ascii="Arial" w:hAnsi="Arial" w:cs="Arial"/>
        </w:rPr>
        <w:t>transitional period</w:t>
      </w:r>
      <w:r w:rsidR="003600B4">
        <w:rPr>
          <w:rFonts w:ascii="Arial" w:hAnsi="Arial" w:cs="Arial"/>
        </w:rPr>
        <w:t>,</w:t>
      </w:r>
      <w:r w:rsidR="003454B2">
        <w:rPr>
          <w:rFonts w:ascii="Arial" w:hAnsi="Arial" w:cs="Arial"/>
        </w:rPr>
        <w:t xml:space="preserve"> </w:t>
      </w:r>
      <w:r w:rsidR="00EF76A7">
        <w:rPr>
          <w:rFonts w:ascii="Arial" w:hAnsi="Arial" w:cs="Arial"/>
        </w:rPr>
        <w:t xml:space="preserve">progress will be </w:t>
      </w:r>
      <w:r w:rsidR="0053135E">
        <w:rPr>
          <w:rFonts w:ascii="Arial" w:hAnsi="Arial" w:cs="Arial"/>
        </w:rPr>
        <w:t xml:space="preserve">made </w:t>
      </w:r>
      <w:r w:rsidR="00FC17AD">
        <w:rPr>
          <w:rFonts w:ascii="Arial" w:hAnsi="Arial" w:cs="Arial"/>
        </w:rPr>
        <w:t xml:space="preserve">in securing both an </w:t>
      </w:r>
      <w:r w:rsidR="005A6E91">
        <w:rPr>
          <w:rFonts w:ascii="Arial" w:hAnsi="Arial" w:cs="Arial"/>
        </w:rPr>
        <w:t>‘</w:t>
      </w:r>
      <w:r w:rsidR="00FC17AD">
        <w:rPr>
          <w:rFonts w:ascii="Arial" w:hAnsi="Arial" w:cs="Arial"/>
        </w:rPr>
        <w:t>adequacy</w:t>
      </w:r>
      <w:r w:rsidR="005A6E91">
        <w:rPr>
          <w:rFonts w:ascii="Arial" w:hAnsi="Arial" w:cs="Arial"/>
        </w:rPr>
        <w:t>’</w:t>
      </w:r>
      <w:r w:rsidR="00FC17AD">
        <w:rPr>
          <w:rFonts w:ascii="Arial" w:hAnsi="Arial" w:cs="Arial"/>
        </w:rPr>
        <w:t xml:space="preserve"> decision and a long term </w:t>
      </w:r>
      <w:r w:rsidR="00EF76A7">
        <w:rPr>
          <w:rFonts w:ascii="Arial" w:hAnsi="Arial" w:cs="Arial"/>
        </w:rPr>
        <w:t xml:space="preserve">trading </w:t>
      </w:r>
      <w:r w:rsidR="00A10416">
        <w:rPr>
          <w:rFonts w:ascii="Arial" w:hAnsi="Arial" w:cs="Arial"/>
        </w:rPr>
        <w:lastRenderedPageBreak/>
        <w:t>relationship between the UK and the EU</w:t>
      </w:r>
      <w:r w:rsidR="00FC17AD">
        <w:rPr>
          <w:rFonts w:ascii="Arial" w:hAnsi="Arial" w:cs="Arial"/>
        </w:rPr>
        <w:t xml:space="preserve"> </w:t>
      </w:r>
      <w:r w:rsidR="00A10416">
        <w:rPr>
          <w:rFonts w:ascii="Arial" w:hAnsi="Arial" w:cs="Arial"/>
        </w:rPr>
        <w:t>which o</w:t>
      </w:r>
      <w:r w:rsidR="003454B2">
        <w:rPr>
          <w:rFonts w:ascii="Arial" w:hAnsi="Arial" w:cs="Arial"/>
        </w:rPr>
        <w:t xml:space="preserve">nce concluded would </w:t>
      </w:r>
      <w:r w:rsidR="00A10416">
        <w:rPr>
          <w:rFonts w:ascii="Arial" w:hAnsi="Arial" w:cs="Arial"/>
        </w:rPr>
        <w:t xml:space="preserve">bring the </w:t>
      </w:r>
      <w:r w:rsidR="000E42F7">
        <w:rPr>
          <w:rFonts w:ascii="Arial" w:hAnsi="Arial" w:cs="Arial"/>
        </w:rPr>
        <w:t>Withdrawal Agreement</w:t>
      </w:r>
      <w:r w:rsidR="00A10416">
        <w:rPr>
          <w:rFonts w:ascii="Arial" w:hAnsi="Arial" w:cs="Arial"/>
        </w:rPr>
        <w:t xml:space="preserve"> to a</w:t>
      </w:r>
      <w:r w:rsidR="00FC17AD">
        <w:rPr>
          <w:rFonts w:ascii="Arial" w:hAnsi="Arial" w:cs="Arial"/>
        </w:rPr>
        <w:t xml:space="preserve">n end. </w:t>
      </w:r>
      <w:r w:rsidR="00A10416">
        <w:rPr>
          <w:rFonts w:ascii="Arial" w:hAnsi="Arial" w:cs="Arial"/>
        </w:rPr>
        <w:t xml:space="preserve"> </w:t>
      </w:r>
    </w:p>
    <w:p w14:paraId="49A4B714" w14:textId="77777777" w:rsidR="000E42F7" w:rsidRDefault="000E42F7">
      <w:pPr>
        <w:rPr>
          <w:rFonts w:ascii="Arial" w:hAnsi="Arial" w:cs="Arial"/>
        </w:rPr>
      </w:pPr>
    </w:p>
    <w:p w14:paraId="4F105933" w14:textId="77777777" w:rsidR="000E42F7" w:rsidRDefault="000E42F7">
      <w:pPr>
        <w:rPr>
          <w:rFonts w:ascii="Arial" w:hAnsi="Arial" w:cs="Arial"/>
        </w:rPr>
      </w:pPr>
    </w:p>
    <w:p w14:paraId="413AD8B0" w14:textId="3D0A8E79" w:rsidR="00EF76A7" w:rsidRDefault="00CF565D">
      <w:pPr>
        <w:rPr>
          <w:rFonts w:ascii="Arial" w:hAnsi="Arial" w:cs="Arial"/>
          <w:b/>
        </w:rPr>
      </w:pPr>
      <w:r>
        <w:rPr>
          <w:rFonts w:ascii="Arial" w:hAnsi="Arial" w:cs="Arial"/>
          <w:b/>
        </w:rPr>
        <w:t>5.0</w:t>
      </w:r>
      <w:r>
        <w:rPr>
          <w:rFonts w:ascii="Arial" w:hAnsi="Arial" w:cs="Arial"/>
          <w:b/>
        </w:rPr>
        <w:tab/>
      </w:r>
      <w:r w:rsidR="00043150">
        <w:rPr>
          <w:rFonts w:ascii="Arial" w:hAnsi="Arial" w:cs="Arial"/>
          <w:b/>
        </w:rPr>
        <w:t xml:space="preserve">Leaving the EU </w:t>
      </w:r>
      <w:r w:rsidR="000E42F7" w:rsidRPr="000E42F7">
        <w:rPr>
          <w:rFonts w:ascii="Arial" w:hAnsi="Arial" w:cs="Arial"/>
          <w:b/>
        </w:rPr>
        <w:t xml:space="preserve">without a deal   </w:t>
      </w:r>
    </w:p>
    <w:p w14:paraId="084FBFBA" w14:textId="77777777" w:rsidR="00AC1DFB" w:rsidRDefault="00AC1DFB" w:rsidP="00AC1DFB">
      <w:pPr>
        <w:rPr>
          <w:rFonts w:ascii="Arial" w:hAnsi="Arial" w:cs="Arial"/>
        </w:rPr>
      </w:pPr>
    </w:p>
    <w:p w14:paraId="256A791A" w14:textId="4A3924C1" w:rsidR="00AC1DFB" w:rsidRDefault="00CF565D" w:rsidP="00CF565D">
      <w:pPr>
        <w:ind w:left="720" w:hanging="720"/>
        <w:rPr>
          <w:rFonts w:ascii="Arial" w:hAnsi="Arial" w:cs="Arial"/>
        </w:rPr>
      </w:pPr>
      <w:r>
        <w:rPr>
          <w:rFonts w:ascii="Arial" w:hAnsi="Arial" w:cs="Arial"/>
        </w:rPr>
        <w:t>5.1</w:t>
      </w:r>
      <w:r>
        <w:rPr>
          <w:rFonts w:ascii="Arial" w:hAnsi="Arial" w:cs="Arial"/>
        </w:rPr>
        <w:tab/>
      </w:r>
      <w:r w:rsidR="00AC1DFB">
        <w:rPr>
          <w:rFonts w:ascii="Arial" w:hAnsi="Arial" w:cs="Arial"/>
        </w:rPr>
        <w:t>In the event the UK leaves the EU without a deal on 29</w:t>
      </w:r>
      <w:r w:rsidR="00AC1DFB" w:rsidRPr="00AC1DFB">
        <w:rPr>
          <w:rFonts w:ascii="Arial" w:hAnsi="Arial" w:cs="Arial"/>
          <w:vertAlign w:val="superscript"/>
        </w:rPr>
        <w:t>th</w:t>
      </w:r>
      <w:r w:rsidR="00AC1DFB">
        <w:rPr>
          <w:rFonts w:ascii="Arial" w:hAnsi="Arial" w:cs="Arial"/>
        </w:rPr>
        <w:t xml:space="preserve"> March 2019, there will be no transitional 2 year period.</w:t>
      </w:r>
    </w:p>
    <w:p w14:paraId="2DC319B9" w14:textId="77777777" w:rsidR="00AC1DFB" w:rsidRDefault="00AC1DFB" w:rsidP="00AC1DFB">
      <w:pPr>
        <w:rPr>
          <w:rFonts w:ascii="Arial" w:hAnsi="Arial" w:cs="Arial"/>
        </w:rPr>
      </w:pPr>
    </w:p>
    <w:p w14:paraId="126824F0" w14:textId="391E5C46" w:rsidR="00BF2F3C" w:rsidRDefault="00CF565D" w:rsidP="00CF565D">
      <w:pPr>
        <w:ind w:left="720" w:hanging="720"/>
        <w:rPr>
          <w:rFonts w:ascii="Arial" w:hAnsi="Arial" w:cs="Arial"/>
          <w:color w:val="000000"/>
          <w:shd w:val="clear" w:color="auto" w:fill="FFFFFF"/>
        </w:rPr>
      </w:pPr>
      <w:r>
        <w:rPr>
          <w:rFonts w:ascii="Arial" w:hAnsi="Arial" w:cs="Arial"/>
        </w:rPr>
        <w:t>5.2</w:t>
      </w:r>
      <w:r>
        <w:rPr>
          <w:rFonts w:ascii="Arial" w:hAnsi="Arial" w:cs="Arial"/>
        </w:rPr>
        <w:tab/>
      </w:r>
      <w:r w:rsidR="004E261F">
        <w:rPr>
          <w:rFonts w:ascii="Arial" w:hAnsi="Arial" w:cs="Arial"/>
        </w:rPr>
        <w:t xml:space="preserve">As a consequence considerable </w:t>
      </w:r>
      <w:r w:rsidR="00BF2F3C">
        <w:rPr>
          <w:rFonts w:ascii="Arial" w:hAnsi="Arial" w:cs="Arial"/>
        </w:rPr>
        <w:t xml:space="preserve">clarifying amendments </w:t>
      </w:r>
      <w:r w:rsidR="004E261F">
        <w:rPr>
          <w:rFonts w:ascii="Arial" w:hAnsi="Arial" w:cs="Arial"/>
        </w:rPr>
        <w:t xml:space="preserve">would be urgently needed to the GDPR </w:t>
      </w:r>
      <w:r w:rsidR="00BF2F3C">
        <w:rPr>
          <w:rFonts w:ascii="Arial" w:hAnsi="Arial" w:cs="Arial"/>
        </w:rPr>
        <w:t>removing</w:t>
      </w:r>
      <w:r w:rsidR="00BF2F3C" w:rsidRPr="00D86C57">
        <w:rPr>
          <w:rFonts w:ascii="Arial" w:hAnsi="Arial" w:cs="Arial"/>
          <w:color w:val="000000"/>
          <w:shd w:val="clear" w:color="auto" w:fill="FFFFFF"/>
        </w:rPr>
        <w:t xml:space="preserve"> </w:t>
      </w:r>
      <w:r w:rsidR="00BF2F3C" w:rsidRPr="008032D4">
        <w:rPr>
          <w:rFonts w:ascii="Arial" w:hAnsi="Arial" w:cs="Arial"/>
          <w:color w:val="000000"/>
          <w:shd w:val="clear" w:color="auto" w:fill="FFFFFF"/>
        </w:rPr>
        <w:t>references to EU Member States, Union law and the European Commission</w:t>
      </w:r>
      <w:r w:rsidR="00BF2F3C">
        <w:rPr>
          <w:rFonts w:ascii="Arial" w:hAnsi="Arial" w:cs="Arial"/>
          <w:color w:val="000000"/>
          <w:shd w:val="clear" w:color="auto" w:fill="FFFFFF"/>
        </w:rPr>
        <w:t xml:space="preserve"> so that the wording continue</w:t>
      </w:r>
      <w:r w:rsidR="004E261F">
        <w:rPr>
          <w:rFonts w:ascii="Arial" w:hAnsi="Arial" w:cs="Arial"/>
          <w:color w:val="000000"/>
          <w:shd w:val="clear" w:color="auto" w:fill="FFFFFF"/>
        </w:rPr>
        <w:t>d</w:t>
      </w:r>
      <w:r w:rsidR="00BF2F3C">
        <w:rPr>
          <w:rFonts w:ascii="Arial" w:hAnsi="Arial" w:cs="Arial"/>
          <w:color w:val="000000"/>
          <w:shd w:val="clear" w:color="auto" w:fill="FFFFFF"/>
        </w:rPr>
        <w:t xml:space="preserve"> to make sense once the UK becomes a ‘third country’. </w:t>
      </w:r>
    </w:p>
    <w:p w14:paraId="405DD96A" w14:textId="77777777" w:rsidR="00BF2F3C" w:rsidRDefault="00BF2F3C" w:rsidP="00BF2F3C">
      <w:pPr>
        <w:rPr>
          <w:rFonts w:ascii="Arial" w:hAnsi="Arial" w:cs="Arial"/>
          <w:color w:val="000000"/>
          <w:shd w:val="clear" w:color="auto" w:fill="FFFFFF"/>
        </w:rPr>
      </w:pPr>
    </w:p>
    <w:p w14:paraId="73D4C149" w14:textId="6C038D80" w:rsidR="00BF2F3C" w:rsidRPr="00DC6823" w:rsidRDefault="00CF565D" w:rsidP="00CF565D">
      <w:pPr>
        <w:ind w:left="720" w:hanging="720"/>
        <w:rPr>
          <w:rFonts w:ascii="Arial" w:hAnsi="Arial" w:cs="Arial"/>
          <w:color w:val="4472C4" w:themeColor="accent5"/>
          <w:shd w:val="clear" w:color="auto" w:fill="FFFFFF"/>
        </w:rPr>
      </w:pPr>
      <w:r>
        <w:rPr>
          <w:rFonts w:ascii="Arial" w:hAnsi="Arial" w:cs="Arial"/>
          <w:color w:val="000000"/>
          <w:shd w:val="clear" w:color="auto" w:fill="FFFFFF"/>
        </w:rPr>
        <w:t>5.3</w:t>
      </w:r>
      <w:r>
        <w:rPr>
          <w:rFonts w:ascii="Arial" w:hAnsi="Arial" w:cs="Arial"/>
          <w:color w:val="000000"/>
          <w:shd w:val="clear" w:color="auto" w:fill="FFFFFF"/>
        </w:rPr>
        <w:tab/>
      </w:r>
      <w:r w:rsidR="00BF2F3C">
        <w:rPr>
          <w:rFonts w:ascii="Arial" w:hAnsi="Arial" w:cs="Arial"/>
          <w:color w:val="000000"/>
          <w:shd w:val="clear" w:color="auto" w:fill="FFFFFF"/>
        </w:rPr>
        <w:t xml:space="preserve">The Government has recognised the importance of this and in mid-December announced its intention to publish draft amending legislation </w:t>
      </w:r>
      <w:r w:rsidR="00BF2F3C" w:rsidRPr="005A6E91">
        <w:rPr>
          <w:rFonts w:ascii="Arial" w:hAnsi="Arial" w:cs="Arial"/>
          <w:shd w:val="clear" w:color="auto" w:fill="FFFFFF"/>
        </w:rPr>
        <w:t xml:space="preserve">(see Section </w:t>
      </w:r>
      <w:r w:rsidR="00DB5898" w:rsidRPr="005A6E91">
        <w:rPr>
          <w:rFonts w:ascii="Arial" w:hAnsi="Arial" w:cs="Arial"/>
          <w:shd w:val="clear" w:color="auto" w:fill="FFFFFF"/>
        </w:rPr>
        <w:t>7</w:t>
      </w:r>
      <w:r w:rsidR="00BF2F3C" w:rsidRPr="005A6E91">
        <w:rPr>
          <w:rFonts w:ascii="Arial" w:hAnsi="Arial" w:cs="Arial"/>
          <w:shd w:val="clear" w:color="auto" w:fill="FFFFFF"/>
        </w:rPr>
        <w:t xml:space="preserve">).  </w:t>
      </w:r>
    </w:p>
    <w:p w14:paraId="5AE145CE" w14:textId="77777777" w:rsidR="00AC1DFB" w:rsidRPr="000E42F7" w:rsidRDefault="00AC1DFB">
      <w:pPr>
        <w:rPr>
          <w:rFonts w:ascii="Arial" w:hAnsi="Arial" w:cs="Arial"/>
          <w:b/>
        </w:rPr>
      </w:pPr>
    </w:p>
    <w:p w14:paraId="6730A70A" w14:textId="5F5861A2" w:rsidR="005F06C6" w:rsidRDefault="00CF565D" w:rsidP="00CF565D">
      <w:pPr>
        <w:ind w:left="720" w:hanging="720"/>
        <w:rPr>
          <w:rFonts w:ascii="Arial" w:hAnsi="Arial" w:cs="Arial"/>
        </w:rPr>
      </w:pPr>
      <w:r>
        <w:rPr>
          <w:rFonts w:ascii="Arial" w:hAnsi="Arial" w:cs="Arial"/>
        </w:rPr>
        <w:t>5.4</w:t>
      </w:r>
      <w:r>
        <w:rPr>
          <w:rFonts w:ascii="Arial" w:hAnsi="Arial" w:cs="Arial"/>
        </w:rPr>
        <w:tab/>
      </w:r>
      <w:r w:rsidR="00BF2F3C">
        <w:rPr>
          <w:rFonts w:ascii="Arial" w:hAnsi="Arial" w:cs="Arial"/>
        </w:rPr>
        <w:t xml:space="preserve">Where data transfers involve third countries and no adequacy agreement applies, </w:t>
      </w:r>
      <w:r w:rsidR="005F06C6">
        <w:rPr>
          <w:rFonts w:ascii="Arial" w:hAnsi="Arial" w:cs="Arial"/>
        </w:rPr>
        <w:t xml:space="preserve">Article 46 </w:t>
      </w:r>
      <w:r w:rsidR="00BF2F3C">
        <w:rPr>
          <w:rFonts w:ascii="Arial" w:hAnsi="Arial" w:cs="Arial"/>
        </w:rPr>
        <w:t xml:space="preserve">of the </w:t>
      </w:r>
      <w:r w:rsidR="00907457">
        <w:rPr>
          <w:rFonts w:ascii="Arial" w:hAnsi="Arial" w:cs="Arial"/>
        </w:rPr>
        <w:t xml:space="preserve">EU </w:t>
      </w:r>
      <w:r w:rsidR="00BF2F3C">
        <w:rPr>
          <w:rFonts w:ascii="Arial" w:hAnsi="Arial" w:cs="Arial"/>
        </w:rPr>
        <w:t xml:space="preserve">GDPR </w:t>
      </w:r>
      <w:r w:rsidR="005F06C6">
        <w:rPr>
          <w:rFonts w:ascii="Arial" w:hAnsi="Arial" w:cs="Arial"/>
        </w:rPr>
        <w:t xml:space="preserve">provides for </w:t>
      </w:r>
      <w:r w:rsidR="00982481">
        <w:rPr>
          <w:rFonts w:ascii="Arial" w:hAnsi="Arial" w:cs="Arial"/>
        </w:rPr>
        <w:t xml:space="preserve">data </w:t>
      </w:r>
      <w:r w:rsidR="005F06C6">
        <w:rPr>
          <w:rFonts w:ascii="Arial" w:hAnsi="Arial" w:cs="Arial"/>
        </w:rPr>
        <w:t>transfers subject to appropriate safeguards</w:t>
      </w:r>
      <w:r w:rsidR="00BF2F3C">
        <w:rPr>
          <w:rFonts w:ascii="Arial" w:hAnsi="Arial" w:cs="Arial"/>
        </w:rPr>
        <w:t xml:space="preserve"> (other than in specific mainly one off situations warranting an exception)</w:t>
      </w:r>
      <w:r w:rsidR="005F06C6">
        <w:rPr>
          <w:rFonts w:ascii="Arial" w:hAnsi="Arial" w:cs="Arial"/>
        </w:rPr>
        <w:t xml:space="preserve">. </w:t>
      </w:r>
    </w:p>
    <w:p w14:paraId="5A6F9FC5" w14:textId="4F1D47A5" w:rsidR="00FB75E7" w:rsidRDefault="007B21A7">
      <w:pPr>
        <w:rPr>
          <w:rFonts w:ascii="Arial" w:hAnsi="Arial" w:cs="Arial"/>
        </w:rPr>
      </w:pPr>
      <w:r>
        <w:rPr>
          <w:rFonts w:ascii="Arial" w:hAnsi="Arial" w:cs="Arial"/>
        </w:rPr>
        <w:t>.</w:t>
      </w:r>
      <w:r w:rsidR="007B7BA2">
        <w:rPr>
          <w:rFonts w:ascii="Arial" w:hAnsi="Arial" w:cs="Arial"/>
        </w:rPr>
        <w:t xml:space="preserve"> </w:t>
      </w:r>
    </w:p>
    <w:p w14:paraId="35D2BE30" w14:textId="2392AB0B" w:rsidR="008964F5" w:rsidRDefault="00CF565D" w:rsidP="00CF565D">
      <w:pPr>
        <w:ind w:left="720" w:hanging="720"/>
        <w:rPr>
          <w:rFonts w:ascii="Arial" w:hAnsi="Arial" w:cs="Arial"/>
        </w:rPr>
      </w:pPr>
      <w:r>
        <w:rPr>
          <w:rFonts w:ascii="Arial" w:hAnsi="Arial" w:cs="Arial"/>
        </w:rPr>
        <w:t>5.5</w:t>
      </w:r>
      <w:r>
        <w:rPr>
          <w:rFonts w:ascii="Arial" w:hAnsi="Arial" w:cs="Arial"/>
        </w:rPr>
        <w:tab/>
      </w:r>
      <w:r w:rsidR="00743578">
        <w:rPr>
          <w:rFonts w:ascii="Arial" w:hAnsi="Arial" w:cs="Arial"/>
        </w:rPr>
        <w:t xml:space="preserve">Article 46(2) sets out the appropriate safeguards that must be in place for </w:t>
      </w:r>
      <w:r w:rsidR="008964F5">
        <w:rPr>
          <w:rFonts w:ascii="Arial" w:hAnsi="Arial" w:cs="Arial"/>
        </w:rPr>
        <w:t>data</w:t>
      </w:r>
      <w:r w:rsidR="00743578">
        <w:rPr>
          <w:rFonts w:ascii="Arial" w:hAnsi="Arial" w:cs="Arial"/>
        </w:rPr>
        <w:t xml:space="preserve"> transfers without </w:t>
      </w:r>
      <w:r w:rsidR="008964F5">
        <w:rPr>
          <w:rFonts w:ascii="Arial" w:hAnsi="Arial" w:cs="Arial"/>
        </w:rPr>
        <w:t>the need for s</w:t>
      </w:r>
      <w:r w:rsidR="00743578">
        <w:rPr>
          <w:rFonts w:ascii="Arial" w:hAnsi="Arial" w:cs="Arial"/>
        </w:rPr>
        <w:t xml:space="preserve">pecific authorisation from </w:t>
      </w:r>
      <w:r w:rsidR="00EB1830">
        <w:rPr>
          <w:rFonts w:ascii="Arial" w:hAnsi="Arial" w:cs="Arial"/>
        </w:rPr>
        <w:t xml:space="preserve">a relevant </w:t>
      </w:r>
      <w:r w:rsidR="00743578">
        <w:rPr>
          <w:rFonts w:ascii="Arial" w:hAnsi="Arial" w:cs="Arial"/>
        </w:rPr>
        <w:t xml:space="preserve">supervisory authority. </w:t>
      </w:r>
    </w:p>
    <w:p w14:paraId="70D70F53" w14:textId="77777777" w:rsidR="008964F5" w:rsidRDefault="008964F5">
      <w:pPr>
        <w:rPr>
          <w:rFonts w:ascii="Arial" w:hAnsi="Arial" w:cs="Arial"/>
        </w:rPr>
      </w:pPr>
    </w:p>
    <w:p w14:paraId="0573E5D5" w14:textId="2C9FF029" w:rsidR="00743578" w:rsidRDefault="00CF565D">
      <w:pPr>
        <w:rPr>
          <w:rFonts w:ascii="Arial" w:hAnsi="Arial" w:cs="Arial"/>
        </w:rPr>
      </w:pPr>
      <w:r>
        <w:rPr>
          <w:rFonts w:ascii="Arial" w:hAnsi="Arial" w:cs="Arial"/>
        </w:rPr>
        <w:t>5.6</w:t>
      </w:r>
      <w:r>
        <w:rPr>
          <w:rFonts w:ascii="Arial" w:hAnsi="Arial" w:cs="Arial"/>
        </w:rPr>
        <w:tab/>
      </w:r>
      <w:r w:rsidR="00743578">
        <w:rPr>
          <w:rFonts w:ascii="Arial" w:hAnsi="Arial" w:cs="Arial"/>
        </w:rPr>
        <w:t>These are:</w:t>
      </w:r>
    </w:p>
    <w:p w14:paraId="4A44C776" w14:textId="77777777" w:rsidR="00743578" w:rsidRPr="00743578" w:rsidRDefault="00743578" w:rsidP="007A585D">
      <w:pPr>
        <w:pStyle w:val="ListParagraph"/>
        <w:numPr>
          <w:ilvl w:val="0"/>
          <w:numId w:val="7"/>
        </w:numPr>
        <w:spacing w:before="240" w:after="240"/>
        <w:rPr>
          <w:rFonts w:ascii="Arial" w:hAnsi="Arial" w:cs="Arial"/>
          <w:lang w:val="en-US"/>
        </w:rPr>
      </w:pPr>
      <w:r w:rsidRPr="00743578">
        <w:rPr>
          <w:rFonts w:ascii="Arial" w:hAnsi="Arial" w:cs="Arial"/>
          <w:lang w:val="en-US"/>
        </w:rPr>
        <w:t>a legally binding and enforceable instrument between public authorities or bodies;</w:t>
      </w:r>
    </w:p>
    <w:p w14:paraId="4BA4E4B7" w14:textId="77777777" w:rsidR="00743578" w:rsidRPr="00743578" w:rsidRDefault="00743578" w:rsidP="007A585D">
      <w:pPr>
        <w:pStyle w:val="ListParagraph"/>
        <w:numPr>
          <w:ilvl w:val="0"/>
          <w:numId w:val="7"/>
        </w:numPr>
        <w:spacing w:before="240" w:after="240"/>
        <w:rPr>
          <w:rFonts w:ascii="Arial" w:hAnsi="Arial" w:cs="Arial"/>
          <w:lang w:val="en-US"/>
        </w:rPr>
      </w:pPr>
      <w:r w:rsidRPr="00743578">
        <w:rPr>
          <w:rFonts w:ascii="Arial" w:hAnsi="Arial" w:cs="Arial"/>
          <w:lang w:val="en-US"/>
        </w:rPr>
        <w:t>binding corporate rules in accordance with Article 47;</w:t>
      </w:r>
    </w:p>
    <w:p w14:paraId="0FE71B12" w14:textId="77777777" w:rsidR="00743578" w:rsidRPr="00743578" w:rsidRDefault="00743578" w:rsidP="007A585D">
      <w:pPr>
        <w:pStyle w:val="ListParagraph"/>
        <w:numPr>
          <w:ilvl w:val="0"/>
          <w:numId w:val="7"/>
        </w:numPr>
        <w:spacing w:before="240" w:after="240"/>
        <w:rPr>
          <w:rFonts w:ascii="Arial" w:hAnsi="Arial" w:cs="Arial"/>
          <w:lang w:val="en-US"/>
        </w:rPr>
      </w:pPr>
      <w:r w:rsidRPr="00743578">
        <w:rPr>
          <w:rFonts w:ascii="Arial" w:hAnsi="Arial" w:cs="Arial"/>
          <w:lang w:val="en-US"/>
        </w:rPr>
        <w:t>standard data protection clauses adopted by the Commission in accordance with the examination procedure referred to in Article 93(2);</w:t>
      </w:r>
    </w:p>
    <w:p w14:paraId="30064C2B" w14:textId="77777777" w:rsidR="00743578" w:rsidRPr="00743578" w:rsidRDefault="00743578" w:rsidP="007A585D">
      <w:pPr>
        <w:pStyle w:val="ListParagraph"/>
        <w:numPr>
          <w:ilvl w:val="0"/>
          <w:numId w:val="7"/>
        </w:numPr>
        <w:spacing w:before="240" w:after="240"/>
        <w:rPr>
          <w:rFonts w:ascii="Arial" w:hAnsi="Arial" w:cs="Arial"/>
          <w:lang w:val="en-US"/>
        </w:rPr>
      </w:pPr>
      <w:r w:rsidRPr="00743578">
        <w:rPr>
          <w:rFonts w:ascii="Arial" w:hAnsi="Arial" w:cs="Arial"/>
          <w:lang w:val="en-US"/>
        </w:rPr>
        <w:t>standard data protection clauses adopted by a supervisory authority and approved by the Commission pursuant to the examination procedure referred to in Article 93(2);</w:t>
      </w:r>
    </w:p>
    <w:p w14:paraId="7CA4E429" w14:textId="0FF77AF8" w:rsidR="00743578" w:rsidRPr="00743578" w:rsidRDefault="00743578" w:rsidP="007A585D">
      <w:pPr>
        <w:pStyle w:val="ListParagraph"/>
        <w:numPr>
          <w:ilvl w:val="0"/>
          <w:numId w:val="7"/>
        </w:numPr>
        <w:spacing w:before="240" w:after="240"/>
        <w:rPr>
          <w:rFonts w:ascii="Arial" w:hAnsi="Arial" w:cs="Arial"/>
          <w:lang w:val="en-US"/>
        </w:rPr>
      </w:pPr>
      <w:r w:rsidRPr="00743578">
        <w:rPr>
          <w:rFonts w:ascii="Arial" w:hAnsi="Arial" w:cs="Arial"/>
          <w:lang w:val="en-US"/>
        </w:rPr>
        <w:t>an approved code of conduct pursuant to Article 40 together with binding and enforceable commitments of the controller or processor in the third country to apply the appropriate safeguards, including data subjects’ rights</w:t>
      </w:r>
      <w:r w:rsidR="00B568DE">
        <w:rPr>
          <w:rStyle w:val="FootnoteReference"/>
          <w:rFonts w:ascii="Arial" w:hAnsi="Arial" w:cs="Arial"/>
          <w:lang w:val="en-US"/>
        </w:rPr>
        <w:footnoteReference w:id="3"/>
      </w:r>
      <w:r w:rsidRPr="00743578">
        <w:rPr>
          <w:rFonts w:ascii="Arial" w:hAnsi="Arial" w:cs="Arial"/>
          <w:lang w:val="en-US"/>
        </w:rPr>
        <w:t>; or</w:t>
      </w:r>
    </w:p>
    <w:p w14:paraId="5CD1F13A" w14:textId="243525AE" w:rsidR="00743578" w:rsidRPr="00743578" w:rsidRDefault="00743578" w:rsidP="007A585D">
      <w:pPr>
        <w:pStyle w:val="ListParagraph"/>
        <w:numPr>
          <w:ilvl w:val="0"/>
          <w:numId w:val="7"/>
        </w:numPr>
        <w:spacing w:before="240" w:after="240"/>
        <w:rPr>
          <w:rFonts w:ascii="Helvetica" w:hAnsi="Helvetica" w:cs="Helvetica"/>
          <w:sz w:val="21"/>
          <w:szCs w:val="21"/>
          <w:lang w:val="en-US"/>
        </w:rPr>
      </w:pPr>
      <w:r w:rsidRPr="00743578">
        <w:rPr>
          <w:rFonts w:ascii="Arial" w:hAnsi="Arial" w:cs="Arial"/>
          <w:lang w:val="en-US"/>
        </w:rPr>
        <w:t>an approved certification mechanism pursuant to Article 42 together with binding and enforceable commitments of the controller or processor in the third country to apply the appropriate safeguards, including data subjects’ rights</w:t>
      </w:r>
      <w:r w:rsidR="00B568DE">
        <w:rPr>
          <w:rStyle w:val="FootnoteReference"/>
          <w:rFonts w:ascii="Arial" w:hAnsi="Arial" w:cs="Arial"/>
          <w:lang w:val="en-US"/>
        </w:rPr>
        <w:footnoteReference w:id="4"/>
      </w:r>
      <w:r w:rsidRPr="00743578">
        <w:rPr>
          <w:rFonts w:ascii="Arial" w:hAnsi="Arial" w:cs="Arial"/>
          <w:lang w:val="en-US"/>
        </w:rPr>
        <w:t>.</w:t>
      </w:r>
    </w:p>
    <w:p w14:paraId="5763E7B9" w14:textId="197E6CA2" w:rsidR="00743578" w:rsidRPr="00743578" w:rsidRDefault="00CF565D" w:rsidP="005A6E91">
      <w:pPr>
        <w:ind w:left="720" w:hanging="720"/>
        <w:rPr>
          <w:rFonts w:ascii="Arial" w:hAnsi="Arial" w:cs="Arial"/>
        </w:rPr>
      </w:pPr>
      <w:r>
        <w:rPr>
          <w:rFonts w:ascii="Arial" w:hAnsi="Arial" w:cs="Arial"/>
          <w:lang w:val="en-US"/>
        </w:rPr>
        <w:lastRenderedPageBreak/>
        <w:t>5.7</w:t>
      </w:r>
      <w:r>
        <w:rPr>
          <w:rFonts w:ascii="Arial" w:hAnsi="Arial" w:cs="Arial"/>
          <w:lang w:val="en-US"/>
        </w:rPr>
        <w:tab/>
      </w:r>
      <w:r w:rsidR="004E261F">
        <w:rPr>
          <w:rFonts w:ascii="Arial" w:hAnsi="Arial" w:cs="Arial"/>
          <w:lang w:val="en-US"/>
        </w:rPr>
        <w:t xml:space="preserve">Alternatively, </w:t>
      </w:r>
      <w:r w:rsidR="004E261F" w:rsidRPr="00743578">
        <w:rPr>
          <w:rFonts w:ascii="Arial" w:hAnsi="Arial" w:cs="Arial"/>
        </w:rPr>
        <w:t xml:space="preserve">Article 46(3) provides </w:t>
      </w:r>
      <w:r w:rsidR="004E261F">
        <w:rPr>
          <w:rFonts w:ascii="Arial" w:hAnsi="Arial" w:cs="Arial"/>
        </w:rPr>
        <w:t xml:space="preserve">that </w:t>
      </w:r>
      <w:r w:rsidR="005A6E91">
        <w:rPr>
          <w:rFonts w:ascii="Arial" w:hAnsi="Arial" w:cs="Arial"/>
        </w:rPr>
        <w:t xml:space="preserve">with direct </w:t>
      </w:r>
      <w:r w:rsidR="004E261F" w:rsidRPr="00743578">
        <w:rPr>
          <w:rFonts w:ascii="Arial" w:hAnsi="Arial" w:cs="Arial"/>
          <w:lang w:val="en-US"/>
        </w:rPr>
        <w:t>authorisation from the competent supervisory authority</w:t>
      </w:r>
      <w:r w:rsidR="004E261F">
        <w:rPr>
          <w:rFonts w:ascii="Arial" w:hAnsi="Arial" w:cs="Arial"/>
          <w:lang w:val="en-US"/>
        </w:rPr>
        <w:t xml:space="preserve">, </w:t>
      </w:r>
      <w:r w:rsidR="004E261F">
        <w:rPr>
          <w:rFonts w:ascii="Arial" w:hAnsi="Arial" w:cs="Arial"/>
        </w:rPr>
        <w:t>appropriate safeguards may be provided for in:</w:t>
      </w:r>
      <w:r w:rsidR="00743578" w:rsidRPr="00743578">
        <w:rPr>
          <w:rFonts w:ascii="Arial" w:hAnsi="Arial" w:cs="Arial"/>
        </w:rPr>
        <w:t xml:space="preserve"> </w:t>
      </w:r>
    </w:p>
    <w:p w14:paraId="2EBD8FBB" w14:textId="77777777" w:rsidR="007B21A7" w:rsidRPr="00743578" w:rsidRDefault="007B21A7" w:rsidP="007A585D">
      <w:pPr>
        <w:pStyle w:val="ListParagraph"/>
        <w:numPr>
          <w:ilvl w:val="0"/>
          <w:numId w:val="6"/>
        </w:numPr>
        <w:spacing w:before="240" w:after="240"/>
        <w:rPr>
          <w:rFonts w:ascii="Arial" w:hAnsi="Arial" w:cs="Arial"/>
          <w:lang w:val="en-US"/>
        </w:rPr>
      </w:pPr>
      <w:r w:rsidRPr="00743578">
        <w:rPr>
          <w:rFonts w:ascii="Arial" w:hAnsi="Arial" w:cs="Arial"/>
          <w:lang w:val="en-US"/>
        </w:rPr>
        <w:t>contractual clauses between the controller or processor and the controller, processor or the recipient of the personal data in the third country or international organisation; or</w:t>
      </w:r>
    </w:p>
    <w:p w14:paraId="393FC583" w14:textId="25F356C9" w:rsidR="007B21A7" w:rsidRPr="00743578" w:rsidRDefault="00B568DE" w:rsidP="007A585D">
      <w:pPr>
        <w:pStyle w:val="ListParagraph"/>
        <w:numPr>
          <w:ilvl w:val="0"/>
          <w:numId w:val="6"/>
        </w:numPr>
        <w:spacing w:before="240" w:after="240"/>
        <w:rPr>
          <w:rFonts w:ascii="Helvetica" w:hAnsi="Helvetica" w:cs="Helvetica"/>
          <w:sz w:val="21"/>
          <w:szCs w:val="21"/>
          <w:lang w:val="en-US"/>
        </w:rPr>
      </w:pPr>
      <w:r>
        <w:rPr>
          <w:rFonts w:ascii="Arial" w:hAnsi="Arial" w:cs="Arial"/>
          <w:lang w:val="en-US"/>
        </w:rPr>
        <w:t xml:space="preserve">for </w:t>
      </w:r>
      <w:r w:rsidR="007B21A7" w:rsidRPr="00743578">
        <w:rPr>
          <w:rFonts w:ascii="Arial" w:hAnsi="Arial" w:cs="Arial"/>
          <w:lang w:val="en-US"/>
        </w:rPr>
        <w:t>provisions to be inserted into administrative arrangements between public authorities or bodies which include enforceable and effective data subject rights</w:t>
      </w:r>
      <w:r w:rsidR="007B21A7" w:rsidRPr="00743578">
        <w:rPr>
          <w:rFonts w:ascii="Helvetica" w:hAnsi="Helvetica" w:cs="Helvetica"/>
          <w:sz w:val="21"/>
          <w:szCs w:val="21"/>
          <w:lang w:val="en-US"/>
        </w:rPr>
        <w:t>.</w:t>
      </w:r>
    </w:p>
    <w:p w14:paraId="2BD06E39" w14:textId="221A3954" w:rsidR="004E261F" w:rsidRDefault="00CF565D" w:rsidP="004E261F">
      <w:pPr>
        <w:ind w:left="720" w:hanging="720"/>
        <w:rPr>
          <w:rFonts w:ascii="Arial" w:hAnsi="Arial" w:cs="Arial"/>
        </w:rPr>
      </w:pPr>
      <w:r>
        <w:rPr>
          <w:rFonts w:ascii="Arial" w:hAnsi="Arial" w:cs="Arial"/>
        </w:rPr>
        <w:t>5.8</w:t>
      </w:r>
      <w:r>
        <w:rPr>
          <w:rFonts w:ascii="Arial" w:hAnsi="Arial" w:cs="Arial"/>
        </w:rPr>
        <w:tab/>
      </w:r>
      <w:r w:rsidR="004E261F">
        <w:rPr>
          <w:rFonts w:ascii="Arial" w:hAnsi="Arial" w:cs="Arial"/>
        </w:rPr>
        <w:t>Under either of the above models, i</w:t>
      </w:r>
      <w:r w:rsidR="00BF15E8">
        <w:rPr>
          <w:rFonts w:ascii="Arial" w:hAnsi="Arial" w:cs="Arial"/>
        </w:rPr>
        <w:t>t</w:t>
      </w:r>
      <w:r w:rsidR="004E261F">
        <w:rPr>
          <w:rFonts w:ascii="Arial" w:hAnsi="Arial" w:cs="Arial"/>
        </w:rPr>
        <w:t xml:space="preserve"> is evident that UK b</w:t>
      </w:r>
      <w:r w:rsidR="004E261F" w:rsidRPr="00982481">
        <w:rPr>
          <w:rFonts w:ascii="Arial" w:hAnsi="Arial" w:cs="Arial"/>
        </w:rPr>
        <w:t>usinesses involved in complex processing activities across multiple Member States</w:t>
      </w:r>
      <w:r w:rsidR="004E261F">
        <w:rPr>
          <w:rFonts w:ascii="Arial" w:hAnsi="Arial" w:cs="Arial"/>
        </w:rPr>
        <w:t xml:space="preserve"> and their EU partners will expend considerably more time, expense and administration managing the above data transfer requirements in comparison to the free flow of personal data that now applies </w:t>
      </w:r>
      <w:r w:rsidR="00BF15E8">
        <w:rPr>
          <w:rFonts w:ascii="Arial" w:hAnsi="Arial" w:cs="Arial"/>
        </w:rPr>
        <w:t xml:space="preserve">across </w:t>
      </w:r>
      <w:r w:rsidR="005A6E91">
        <w:rPr>
          <w:rFonts w:ascii="Arial" w:hAnsi="Arial" w:cs="Arial"/>
        </w:rPr>
        <w:t xml:space="preserve">all </w:t>
      </w:r>
      <w:r w:rsidR="00BF15E8">
        <w:rPr>
          <w:rFonts w:ascii="Arial" w:hAnsi="Arial" w:cs="Arial"/>
        </w:rPr>
        <w:t>M</w:t>
      </w:r>
      <w:r w:rsidR="004E261F">
        <w:rPr>
          <w:rFonts w:ascii="Arial" w:hAnsi="Arial" w:cs="Arial"/>
        </w:rPr>
        <w:t xml:space="preserve">ember States. </w:t>
      </w:r>
    </w:p>
    <w:p w14:paraId="47BFB556" w14:textId="77777777" w:rsidR="00BF15E8" w:rsidRDefault="00BF15E8" w:rsidP="004E261F">
      <w:pPr>
        <w:ind w:left="720" w:hanging="720"/>
        <w:rPr>
          <w:rFonts w:ascii="Arial" w:hAnsi="Arial" w:cs="Arial"/>
        </w:rPr>
      </w:pPr>
    </w:p>
    <w:p w14:paraId="6BD056AB" w14:textId="676CAF63" w:rsidR="006A0A00" w:rsidRPr="00982481" w:rsidRDefault="00CF565D" w:rsidP="00CF565D">
      <w:pPr>
        <w:ind w:left="720" w:hanging="720"/>
        <w:rPr>
          <w:rFonts w:ascii="Arial" w:hAnsi="Arial" w:cs="Arial"/>
        </w:rPr>
      </w:pPr>
      <w:r>
        <w:rPr>
          <w:rFonts w:ascii="Arial" w:hAnsi="Arial" w:cs="Arial"/>
        </w:rPr>
        <w:t>5.9</w:t>
      </w:r>
      <w:r>
        <w:rPr>
          <w:rFonts w:ascii="Arial" w:hAnsi="Arial" w:cs="Arial"/>
        </w:rPr>
        <w:tab/>
      </w:r>
      <w:r w:rsidR="00991A04">
        <w:rPr>
          <w:rFonts w:ascii="Arial" w:hAnsi="Arial" w:cs="Arial"/>
        </w:rPr>
        <w:t xml:space="preserve">Moreover, </w:t>
      </w:r>
      <w:r w:rsidR="00B568DE">
        <w:rPr>
          <w:rFonts w:ascii="Arial" w:hAnsi="Arial" w:cs="Arial"/>
        </w:rPr>
        <w:t xml:space="preserve">it is also important to note that even </w:t>
      </w:r>
      <w:r w:rsidR="00982481" w:rsidRPr="00982481">
        <w:rPr>
          <w:rFonts w:ascii="Arial" w:hAnsi="Arial" w:cs="Arial"/>
        </w:rPr>
        <w:t>though t</w:t>
      </w:r>
      <w:r w:rsidR="009521A7" w:rsidRPr="00982481">
        <w:rPr>
          <w:rFonts w:ascii="Arial" w:hAnsi="Arial" w:cs="Arial"/>
        </w:rPr>
        <w:t xml:space="preserve">he UK </w:t>
      </w:r>
      <w:r w:rsidR="00FE4EAE">
        <w:rPr>
          <w:rFonts w:ascii="Arial" w:hAnsi="Arial" w:cs="Arial"/>
        </w:rPr>
        <w:t xml:space="preserve">legislative framework </w:t>
      </w:r>
      <w:r w:rsidR="00BF15E8">
        <w:rPr>
          <w:rFonts w:ascii="Arial" w:hAnsi="Arial" w:cs="Arial"/>
        </w:rPr>
        <w:t xml:space="preserve">is closely </w:t>
      </w:r>
      <w:r w:rsidR="009521A7" w:rsidRPr="00982481">
        <w:rPr>
          <w:rFonts w:ascii="Arial" w:hAnsi="Arial" w:cs="Arial"/>
        </w:rPr>
        <w:t>align</w:t>
      </w:r>
      <w:r w:rsidR="00FE4EAE">
        <w:rPr>
          <w:rFonts w:ascii="Arial" w:hAnsi="Arial" w:cs="Arial"/>
        </w:rPr>
        <w:t>ed</w:t>
      </w:r>
      <w:r w:rsidR="009521A7" w:rsidRPr="00982481">
        <w:rPr>
          <w:rFonts w:ascii="Arial" w:hAnsi="Arial" w:cs="Arial"/>
        </w:rPr>
        <w:t xml:space="preserve"> with EU data protection standards</w:t>
      </w:r>
      <w:r w:rsidR="007B7BA2" w:rsidRPr="00982481">
        <w:rPr>
          <w:rFonts w:ascii="Arial" w:hAnsi="Arial" w:cs="Arial"/>
        </w:rPr>
        <w:t>,</w:t>
      </w:r>
      <w:r w:rsidR="009521A7" w:rsidRPr="00982481">
        <w:rPr>
          <w:rFonts w:ascii="Arial" w:hAnsi="Arial" w:cs="Arial"/>
        </w:rPr>
        <w:t xml:space="preserve"> once the UK leaves </w:t>
      </w:r>
      <w:r w:rsidR="00B568DE">
        <w:rPr>
          <w:rFonts w:ascii="Arial" w:hAnsi="Arial" w:cs="Arial"/>
        </w:rPr>
        <w:t xml:space="preserve">the EU </w:t>
      </w:r>
      <w:r w:rsidR="009521A7" w:rsidRPr="00982481">
        <w:rPr>
          <w:rFonts w:ascii="Arial" w:hAnsi="Arial" w:cs="Arial"/>
        </w:rPr>
        <w:t xml:space="preserve">and </w:t>
      </w:r>
      <w:r w:rsidR="00B568DE">
        <w:rPr>
          <w:rFonts w:ascii="Arial" w:hAnsi="Arial" w:cs="Arial"/>
        </w:rPr>
        <w:t xml:space="preserve">becomes </w:t>
      </w:r>
      <w:r w:rsidR="009521A7" w:rsidRPr="00982481">
        <w:rPr>
          <w:rFonts w:ascii="Arial" w:hAnsi="Arial" w:cs="Arial"/>
        </w:rPr>
        <w:t>a third country</w:t>
      </w:r>
      <w:r w:rsidR="006A0A00" w:rsidRPr="00982481">
        <w:rPr>
          <w:rFonts w:ascii="Arial" w:hAnsi="Arial" w:cs="Arial"/>
        </w:rPr>
        <w:t>:</w:t>
      </w:r>
    </w:p>
    <w:p w14:paraId="56C2098A" w14:textId="77777777" w:rsidR="006A0A00" w:rsidRPr="00982481" w:rsidRDefault="006A0A00" w:rsidP="009521A7">
      <w:pPr>
        <w:rPr>
          <w:rFonts w:ascii="Arial" w:hAnsi="Arial" w:cs="Arial"/>
        </w:rPr>
      </w:pPr>
    </w:p>
    <w:p w14:paraId="4566C60E" w14:textId="3B6E007B" w:rsidR="006A0A00" w:rsidRPr="00982481" w:rsidRDefault="009521A7" w:rsidP="007A585D">
      <w:pPr>
        <w:pStyle w:val="ListParagraph"/>
        <w:numPr>
          <w:ilvl w:val="0"/>
          <w:numId w:val="9"/>
        </w:numPr>
        <w:rPr>
          <w:rFonts w:ascii="Arial" w:hAnsi="Arial" w:cs="Arial"/>
        </w:rPr>
      </w:pPr>
      <w:r w:rsidRPr="00982481">
        <w:rPr>
          <w:rFonts w:ascii="Arial" w:hAnsi="Arial" w:cs="Arial"/>
        </w:rPr>
        <w:t xml:space="preserve">the derogations and exemptions </w:t>
      </w:r>
      <w:r w:rsidR="00991A04">
        <w:rPr>
          <w:rFonts w:ascii="Arial" w:hAnsi="Arial" w:cs="Arial"/>
        </w:rPr>
        <w:t xml:space="preserve">the GDPR </w:t>
      </w:r>
      <w:r w:rsidR="00FE4EAE">
        <w:rPr>
          <w:rFonts w:ascii="Arial" w:hAnsi="Arial" w:cs="Arial"/>
        </w:rPr>
        <w:t xml:space="preserve">permits </w:t>
      </w:r>
      <w:r w:rsidR="00991A04">
        <w:rPr>
          <w:rFonts w:ascii="Arial" w:hAnsi="Arial" w:cs="Arial"/>
        </w:rPr>
        <w:t xml:space="preserve">Member States to make </w:t>
      </w:r>
      <w:r w:rsidR="00FE4EAE">
        <w:rPr>
          <w:rFonts w:ascii="Arial" w:hAnsi="Arial" w:cs="Arial"/>
        </w:rPr>
        <w:t>(</w:t>
      </w:r>
      <w:r w:rsidR="00FB75E7" w:rsidRPr="00982481">
        <w:rPr>
          <w:rFonts w:ascii="Arial" w:hAnsi="Arial" w:cs="Arial"/>
        </w:rPr>
        <w:t xml:space="preserve">and </w:t>
      </w:r>
      <w:r w:rsidR="00991A04">
        <w:rPr>
          <w:rFonts w:ascii="Arial" w:hAnsi="Arial" w:cs="Arial"/>
        </w:rPr>
        <w:t xml:space="preserve">which the </w:t>
      </w:r>
      <w:r w:rsidR="00B568DE">
        <w:rPr>
          <w:rFonts w:ascii="Arial" w:hAnsi="Arial" w:cs="Arial"/>
        </w:rPr>
        <w:t xml:space="preserve">UK </w:t>
      </w:r>
      <w:r w:rsidR="00FE4EAE">
        <w:rPr>
          <w:rFonts w:ascii="Arial" w:hAnsi="Arial" w:cs="Arial"/>
        </w:rPr>
        <w:t xml:space="preserve">has </w:t>
      </w:r>
      <w:r w:rsidR="00991A04">
        <w:rPr>
          <w:rFonts w:ascii="Arial" w:hAnsi="Arial" w:cs="Arial"/>
        </w:rPr>
        <w:t xml:space="preserve">created in the </w:t>
      </w:r>
      <w:r w:rsidR="00FB75E7" w:rsidRPr="00982481">
        <w:rPr>
          <w:rFonts w:ascii="Arial" w:hAnsi="Arial" w:cs="Arial"/>
        </w:rPr>
        <w:t>DPA 2018</w:t>
      </w:r>
      <w:r w:rsidR="00FE4EAE">
        <w:rPr>
          <w:rFonts w:ascii="Arial" w:hAnsi="Arial" w:cs="Arial"/>
        </w:rPr>
        <w:t>)</w:t>
      </w:r>
      <w:r w:rsidR="00FB75E7" w:rsidRPr="00982481">
        <w:rPr>
          <w:rFonts w:ascii="Arial" w:hAnsi="Arial" w:cs="Arial"/>
        </w:rPr>
        <w:t xml:space="preserve">, </w:t>
      </w:r>
      <w:r w:rsidRPr="00982481">
        <w:rPr>
          <w:rFonts w:ascii="Arial" w:hAnsi="Arial" w:cs="Arial"/>
        </w:rPr>
        <w:t>will no longer be recognised under EU</w:t>
      </w:r>
      <w:r w:rsidR="00043150" w:rsidRPr="00982481">
        <w:rPr>
          <w:rFonts w:ascii="Arial" w:hAnsi="Arial" w:cs="Arial"/>
        </w:rPr>
        <w:t xml:space="preserve"> data protection law</w:t>
      </w:r>
      <w:r w:rsidR="00FB75E7" w:rsidRPr="00982481">
        <w:rPr>
          <w:rFonts w:ascii="Arial" w:hAnsi="Arial" w:cs="Arial"/>
        </w:rPr>
        <w:t xml:space="preserve"> once the UK ceases to be a Member State</w:t>
      </w:r>
      <w:r w:rsidR="00043150" w:rsidRPr="00982481">
        <w:rPr>
          <w:rFonts w:ascii="Arial" w:hAnsi="Arial" w:cs="Arial"/>
        </w:rPr>
        <w:t>;</w:t>
      </w:r>
    </w:p>
    <w:p w14:paraId="3CC0746C" w14:textId="77777777" w:rsidR="006A0A00" w:rsidRPr="00982481" w:rsidRDefault="006A0A00" w:rsidP="009521A7">
      <w:pPr>
        <w:rPr>
          <w:rFonts w:ascii="Arial" w:hAnsi="Arial" w:cs="Arial"/>
        </w:rPr>
      </w:pPr>
    </w:p>
    <w:p w14:paraId="49E95CEC" w14:textId="4E411854" w:rsidR="006A0A00" w:rsidRPr="00982481" w:rsidRDefault="006A0A00" w:rsidP="007A585D">
      <w:pPr>
        <w:pStyle w:val="ListParagraph"/>
        <w:numPr>
          <w:ilvl w:val="0"/>
          <w:numId w:val="9"/>
        </w:numPr>
        <w:rPr>
          <w:rFonts w:ascii="Arial" w:hAnsi="Arial" w:cs="Arial"/>
        </w:rPr>
      </w:pPr>
      <w:r w:rsidRPr="00982481">
        <w:rPr>
          <w:rFonts w:ascii="Arial" w:hAnsi="Arial" w:cs="Arial"/>
        </w:rPr>
        <w:t xml:space="preserve">this means that </w:t>
      </w:r>
      <w:r w:rsidR="00E07566" w:rsidRPr="00982481">
        <w:rPr>
          <w:rFonts w:ascii="Arial" w:hAnsi="Arial" w:cs="Arial"/>
        </w:rPr>
        <w:t xml:space="preserve">when </w:t>
      </w:r>
      <w:r w:rsidR="00043150" w:rsidRPr="00982481">
        <w:rPr>
          <w:rFonts w:ascii="Arial" w:hAnsi="Arial" w:cs="Arial"/>
        </w:rPr>
        <w:t>consider</w:t>
      </w:r>
      <w:r w:rsidR="00FB75E7" w:rsidRPr="00982481">
        <w:rPr>
          <w:rFonts w:ascii="Arial" w:hAnsi="Arial" w:cs="Arial"/>
        </w:rPr>
        <w:t>ing</w:t>
      </w:r>
      <w:r w:rsidR="00043150" w:rsidRPr="00982481">
        <w:rPr>
          <w:rFonts w:ascii="Arial" w:hAnsi="Arial" w:cs="Arial"/>
        </w:rPr>
        <w:t xml:space="preserve"> </w:t>
      </w:r>
      <w:r w:rsidRPr="00982481">
        <w:rPr>
          <w:rFonts w:ascii="Arial" w:hAnsi="Arial" w:cs="Arial"/>
        </w:rPr>
        <w:t xml:space="preserve">the legal basis for </w:t>
      </w:r>
      <w:r w:rsidR="00FB75E7" w:rsidRPr="00982481">
        <w:rPr>
          <w:rFonts w:ascii="Arial" w:hAnsi="Arial" w:cs="Arial"/>
        </w:rPr>
        <w:t xml:space="preserve">EU </w:t>
      </w:r>
      <w:r w:rsidRPr="00982481">
        <w:rPr>
          <w:rFonts w:ascii="Arial" w:hAnsi="Arial" w:cs="Arial"/>
        </w:rPr>
        <w:t>processing</w:t>
      </w:r>
      <w:r w:rsidR="00FB75E7" w:rsidRPr="00982481">
        <w:rPr>
          <w:rFonts w:ascii="Arial" w:hAnsi="Arial" w:cs="Arial"/>
        </w:rPr>
        <w:t xml:space="preserve">/transfers </w:t>
      </w:r>
      <w:r w:rsidR="00B568DE">
        <w:rPr>
          <w:rFonts w:ascii="Arial" w:hAnsi="Arial" w:cs="Arial"/>
        </w:rPr>
        <w:t xml:space="preserve">involving </w:t>
      </w:r>
      <w:r w:rsidR="00FB75E7" w:rsidRPr="00982481">
        <w:rPr>
          <w:rFonts w:ascii="Arial" w:hAnsi="Arial" w:cs="Arial"/>
        </w:rPr>
        <w:t>UK</w:t>
      </w:r>
      <w:r w:rsidR="00B568DE">
        <w:rPr>
          <w:rFonts w:ascii="Arial" w:hAnsi="Arial" w:cs="Arial"/>
        </w:rPr>
        <w:t xml:space="preserve"> organisations</w:t>
      </w:r>
      <w:r w:rsidR="00FB75E7" w:rsidRPr="00982481">
        <w:rPr>
          <w:rFonts w:ascii="Arial" w:hAnsi="Arial" w:cs="Arial"/>
        </w:rPr>
        <w:t xml:space="preserve">, </w:t>
      </w:r>
      <w:r w:rsidRPr="00982481">
        <w:rPr>
          <w:rFonts w:ascii="Arial" w:hAnsi="Arial" w:cs="Arial"/>
        </w:rPr>
        <w:t xml:space="preserve">the </w:t>
      </w:r>
      <w:r w:rsidR="00FB75E7" w:rsidRPr="00982481">
        <w:rPr>
          <w:rFonts w:ascii="Arial" w:hAnsi="Arial" w:cs="Arial"/>
        </w:rPr>
        <w:t xml:space="preserve">applicable </w:t>
      </w:r>
      <w:r w:rsidR="009521A7" w:rsidRPr="00982481">
        <w:rPr>
          <w:rFonts w:ascii="Arial" w:hAnsi="Arial" w:cs="Arial"/>
        </w:rPr>
        <w:t xml:space="preserve">conditions </w:t>
      </w:r>
      <w:r w:rsidR="00FB75E7" w:rsidRPr="00982481">
        <w:rPr>
          <w:rFonts w:ascii="Arial" w:hAnsi="Arial" w:cs="Arial"/>
        </w:rPr>
        <w:t>will be limited to those in the GDP</w:t>
      </w:r>
      <w:r w:rsidR="009521A7" w:rsidRPr="00982481">
        <w:rPr>
          <w:rFonts w:ascii="Arial" w:hAnsi="Arial" w:cs="Arial"/>
        </w:rPr>
        <w:t xml:space="preserve">R </w:t>
      </w:r>
      <w:r w:rsidRPr="00982481">
        <w:rPr>
          <w:rFonts w:ascii="Arial" w:hAnsi="Arial" w:cs="Arial"/>
        </w:rPr>
        <w:t xml:space="preserve">as supplemented by particular </w:t>
      </w:r>
      <w:r w:rsidR="00443190" w:rsidRPr="00982481">
        <w:rPr>
          <w:rFonts w:ascii="Arial" w:hAnsi="Arial" w:cs="Arial"/>
        </w:rPr>
        <w:t xml:space="preserve">EU </w:t>
      </w:r>
      <w:r w:rsidRPr="00982481">
        <w:rPr>
          <w:rFonts w:ascii="Arial" w:hAnsi="Arial" w:cs="Arial"/>
        </w:rPr>
        <w:t>Member States</w:t>
      </w:r>
      <w:r w:rsidR="00443190" w:rsidRPr="00982481">
        <w:rPr>
          <w:rFonts w:ascii="Arial" w:hAnsi="Arial" w:cs="Arial"/>
        </w:rPr>
        <w:t xml:space="preserve"> </w:t>
      </w:r>
      <w:r w:rsidR="00043150" w:rsidRPr="00982481">
        <w:rPr>
          <w:rFonts w:ascii="Arial" w:hAnsi="Arial" w:cs="Arial"/>
          <w:i/>
        </w:rPr>
        <w:t>(</w:t>
      </w:r>
      <w:r w:rsidR="007B7BA2" w:rsidRPr="00982481">
        <w:rPr>
          <w:rFonts w:ascii="Arial" w:hAnsi="Arial" w:cs="Arial"/>
          <w:i/>
        </w:rPr>
        <w:t xml:space="preserve">e.g. </w:t>
      </w:r>
      <w:r w:rsidR="00FB75E7" w:rsidRPr="00982481">
        <w:rPr>
          <w:rFonts w:ascii="Arial" w:hAnsi="Arial" w:cs="Arial"/>
          <w:i/>
        </w:rPr>
        <w:t xml:space="preserve">excluding those added by the </w:t>
      </w:r>
      <w:r w:rsidR="0097760E" w:rsidRPr="00982481">
        <w:rPr>
          <w:rFonts w:ascii="Arial" w:hAnsi="Arial" w:cs="Arial"/>
          <w:i/>
        </w:rPr>
        <w:t xml:space="preserve">UK </w:t>
      </w:r>
      <w:r w:rsidR="00FB75E7" w:rsidRPr="00982481">
        <w:rPr>
          <w:rFonts w:ascii="Arial" w:hAnsi="Arial" w:cs="Arial"/>
          <w:i/>
        </w:rPr>
        <w:t>u</w:t>
      </w:r>
      <w:r w:rsidR="00E07566" w:rsidRPr="00982481">
        <w:rPr>
          <w:rFonts w:ascii="Arial" w:hAnsi="Arial" w:cs="Arial"/>
          <w:i/>
        </w:rPr>
        <w:t xml:space="preserve">nder </w:t>
      </w:r>
      <w:r w:rsidR="009521A7" w:rsidRPr="00982481">
        <w:rPr>
          <w:rFonts w:ascii="Arial" w:hAnsi="Arial" w:cs="Arial"/>
          <w:i/>
        </w:rPr>
        <w:t>Schedule</w:t>
      </w:r>
      <w:r w:rsidR="00991A04">
        <w:rPr>
          <w:rFonts w:ascii="Arial" w:hAnsi="Arial" w:cs="Arial"/>
          <w:i/>
        </w:rPr>
        <w:t>s</w:t>
      </w:r>
      <w:r w:rsidR="009521A7" w:rsidRPr="00982481">
        <w:rPr>
          <w:rFonts w:ascii="Arial" w:hAnsi="Arial" w:cs="Arial"/>
          <w:i/>
        </w:rPr>
        <w:t xml:space="preserve"> 1 </w:t>
      </w:r>
      <w:r w:rsidR="00991A04">
        <w:rPr>
          <w:rFonts w:ascii="Arial" w:hAnsi="Arial" w:cs="Arial"/>
          <w:i/>
        </w:rPr>
        <w:t xml:space="preserve">and 2 </w:t>
      </w:r>
      <w:r w:rsidR="009521A7" w:rsidRPr="00982481">
        <w:rPr>
          <w:rFonts w:ascii="Arial" w:hAnsi="Arial" w:cs="Arial"/>
          <w:i/>
        </w:rPr>
        <w:t>of the DPA 2018</w:t>
      </w:r>
      <w:r w:rsidR="00043150" w:rsidRPr="00982481">
        <w:rPr>
          <w:rFonts w:ascii="Arial" w:hAnsi="Arial" w:cs="Arial"/>
          <w:i/>
        </w:rPr>
        <w:t>)</w:t>
      </w:r>
      <w:r w:rsidRPr="00982481">
        <w:rPr>
          <w:rFonts w:ascii="Arial" w:hAnsi="Arial" w:cs="Arial"/>
          <w:i/>
        </w:rPr>
        <w:t>;</w:t>
      </w:r>
    </w:p>
    <w:p w14:paraId="6C203C32" w14:textId="77777777" w:rsidR="006A0A00" w:rsidRPr="006A0A00" w:rsidRDefault="006A0A00" w:rsidP="006A0A00">
      <w:pPr>
        <w:pStyle w:val="ListParagraph"/>
        <w:rPr>
          <w:rFonts w:ascii="Arial" w:hAnsi="Arial" w:cs="Arial"/>
        </w:rPr>
      </w:pPr>
    </w:p>
    <w:p w14:paraId="55732ED3" w14:textId="42AF2DFF" w:rsidR="00443190" w:rsidRDefault="008A04D7" w:rsidP="007A585D">
      <w:pPr>
        <w:pStyle w:val="ListParagraph"/>
        <w:numPr>
          <w:ilvl w:val="0"/>
          <w:numId w:val="9"/>
        </w:numPr>
        <w:rPr>
          <w:rFonts w:ascii="Arial" w:hAnsi="Arial" w:cs="Arial"/>
        </w:rPr>
      </w:pPr>
      <w:r>
        <w:rPr>
          <w:rFonts w:ascii="Arial" w:hAnsi="Arial" w:cs="Arial"/>
          <w:color w:val="000000"/>
          <w:lang w:val="en"/>
        </w:rPr>
        <w:t xml:space="preserve">UK </w:t>
      </w:r>
      <w:r w:rsidR="00AA55A7" w:rsidRPr="00E06A68">
        <w:rPr>
          <w:rFonts w:ascii="Arial" w:hAnsi="Arial" w:cs="Arial"/>
          <w:color w:val="000000"/>
          <w:lang w:val="en"/>
        </w:rPr>
        <w:t xml:space="preserve">based </w:t>
      </w:r>
      <w:r w:rsidR="00A10416">
        <w:rPr>
          <w:rFonts w:ascii="Arial" w:hAnsi="Arial" w:cs="Arial"/>
          <w:color w:val="000000"/>
          <w:lang w:val="en"/>
        </w:rPr>
        <w:t>organisation</w:t>
      </w:r>
      <w:r w:rsidR="00B568DE">
        <w:rPr>
          <w:rFonts w:ascii="Arial" w:hAnsi="Arial" w:cs="Arial"/>
          <w:color w:val="000000"/>
          <w:lang w:val="en"/>
        </w:rPr>
        <w:t>s</w:t>
      </w:r>
      <w:r w:rsidR="00755FB9">
        <w:rPr>
          <w:rFonts w:ascii="Arial" w:hAnsi="Arial" w:cs="Arial"/>
        </w:rPr>
        <w:t>:</w:t>
      </w:r>
    </w:p>
    <w:p w14:paraId="5B74E262" w14:textId="77777777" w:rsidR="00AA55A7" w:rsidRPr="00AA55A7" w:rsidRDefault="00AA55A7" w:rsidP="00AA55A7">
      <w:pPr>
        <w:pStyle w:val="ListParagraph"/>
        <w:rPr>
          <w:rFonts w:ascii="Arial" w:hAnsi="Arial" w:cs="Arial"/>
        </w:rPr>
      </w:pPr>
    </w:p>
    <w:p w14:paraId="31B9B5C4" w14:textId="254714A4" w:rsidR="008A04D7" w:rsidRDefault="00A10416" w:rsidP="007A585D">
      <w:pPr>
        <w:pStyle w:val="ListParagraph"/>
        <w:numPr>
          <w:ilvl w:val="1"/>
          <w:numId w:val="9"/>
        </w:numPr>
        <w:rPr>
          <w:rFonts w:ascii="Arial" w:hAnsi="Arial" w:cs="Arial"/>
          <w:color w:val="000000"/>
          <w:lang w:val="en"/>
        </w:rPr>
      </w:pPr>
      <w:r>
        <w:rPr>
          <w:rFonts w:ascii="Arial" w:hAnsi="Arial" w:cs="Arial"/>
        </w:rPr>
        <w:t>such as controller</w:t>
      </w:r>
      <w:r w:rsidR="00B568DE">
        <w:rPr>
          <w:rFonts w:ascii="Arial" w:hAnsi="Arial" w:cs="Arial"/>
        </w:rPr>
        <w:t>s</w:t>
      </w:r>
      <w:r>
        <w:rPr>
          <w:rFonts w:ascii="Arial" w:hAnsi="Arial" w:cs="Arial"/>
        </w:rPr>
        <w:t xml:space="preserve"> or processor</w:t>
      </w:r>
      <w:r w:rsidR="00B568DE">
        <w:rPr>
          <w:rFonts w:ascii="Arial" w:hAnsi="Arial" w:cs="Arial"/>
        </w:rPr>
        <w:t>s</w:t>
      </w:r>
      <w:r>
        <w:rPr>
          <w:rFonts w:ascii="Arial" w:hAnsi="Arial" w:cs="Arial"/>
        </w:rPr>
        <w:t xml:space="preserve"> not established in the EU but engaging in processing activities falling within Article 3(2) </w:t>
      </w:r>
      <w:r w:rsidRPr="00025E3B">
        <w:rPr>
          <w:rFonts w:ascii="Arial" w:hAnsi="Arial" w:cs="Arial"/>
        </w:rPr>
        <w:t xml:space="preserve">(e.g. </w:t>
      </w:r>
      <w:r w:rsidRPr="00025E3B">
        <w:rPr>
          <w:rFonts w:ascii="Arial" w:hAnsi="Arial" w:cs="Arial"/>
          <w:lang w:val="en"/>
        </w:rPr>
        <w:t>offering goods or services</w:t>
      </w:r>
      <w:r w:rsidR="00991A04" w:rsidRPr="00025E3B">
        <w:rPr>
          <w:rFonts w:ascii="Arial" w:hAnsi="Arial" w:cs="Arial"/>
          <w:lang w:val="en"/>
        </w:rPr>
        <w:t xml:space="preserve"> / </w:t>
      </w:r>
      <w:r w:rsidRPr="00025E3B">
        <w:rPr>
          <w:rFonts w:ascii="Arial" w:hAnsi="Arial" w:cs="Arial"/>
          <w:lang w:val="en"/>
        </w:rPr>
        <w:t>monitoring the behaviour of EU citizens)</w:t>
      </w:r>
      <w:r w:rsidRPr="00025E3B">
        <w:rPr>
          <w:rFonts w:ascii="Arial" w:hAnsi="Arial" w:cs="Arial"/>
        </w:rPr>
        <w:t xml:space="preserve"> </w:t>
      </w:r>
      <w:r w:rsidR="00991A04" w:rsidRPr="00025E3B">
        <w:rPr>
          <w:rFonts w:ascii="Arial" w:hAnsi="Arial" w:cs="Arial"/>
        </w:rPr>
        <w:t xml:space="preserve">may </w:t>
      </w:r>
      <w:r w:rsidR="00982481" w:rsidRPr="00982481">
        <w:rPr>
          <w:rFonts w:ascii="Arial" w:hAnsi="Arial" w:cs="Arial"/>
        </w:rPr>
        <w:t>b</w:t>
      </w:r>
      <w:r w:rsidR="008A04D7">
        <w:rPr>
          <w:rFonts w:ascii="Arial" w:hAnsi="Arial" w:cs="Arial"/>
        </w:rPr>
        <w:t xml:space="preserve">e required to </w:t>
      </w:r>
      <w:r w:rsidR="00AA55A7" w:rsidRPr="00AA55A7">
        <w:rPr>
          <w:rFonts w:ascii="Arial" w:hAnsi="Arial" w:cs="Arial"/>
          <w:color w:val="000000"/>
          <w:lang w:val="en"/>
        </w:rPr>
        <w:t>appoint a representative located in an EU</w:t>
      </w:r>
      <w:r>
        <w:rPr>
          <w:rFonts w:ascii="Arial" w:hAnsi="Arial" w:cs="Arial"/>
          <w:color w:val="000000"/>
          <w:lang w:val="en"/>
        </w:rPr>
        <w:t xml:space="preserve">/EEA </w:t>
      </w:r>
      <w:r w:rsidR="00AA55A7" w:rsidRPr="00AA55A7">
        <w:rPr>
          <w:rFonts w:ascii="Arial" w:hAnsi="Arial" w:cs="Arial"/>
          <w:color w:val="000000"/>
          <w:lang w:val="en"/>
        </w:rPr>
        <w:t>state to act for the organisation on EU GDPR compliance</w:t>
      </w:r>
      <w:r w:rsidR="002813CC">
        <w:rPr>
          <w:rFonts w:ascii="Arial" w:hAnsi="Arial" w:cs="Arial"/>
          <w:color w:val="000000"/>
          <w:lang w:val="en"/>
        </w:rPr>
        <w:t xml:space="preserve"> (unless an exception applies</w:t>
      </w:r>
      <w:r w:rsidR="002813CC">
        <w:rPr>
          <w:rStyle w:val="FootnoteReference"/>
          <w:rFonts w:ascii="Arial" w:hAnsi="Arial" w:cs="Arial"/>
          <w:color w:val="000000"/>
          <w:lang w:val="en"/>
        </w:rPr>
        <w:footnoteReference w:id="5"/>
      </w:r>
      <w:r w:rsidR="002813CC">
        <w:rPr>
          <w:rFonts w:ascii="Arial" w:hAnsi="Arial" w:cs="Arial"/>
          <w:color w:val="000000"/>
          <w:lang w:val="en"/>
        </w:rPr>
        <w:t>)</w:t>
      </w:r>
      <w:r w:rsidR="002813CC" w:rsidRPr="00AA55A7">
        <w:rPr>
          <w:rFonts w:ascii="Arial" w:hAnsi="Arial" w:cs="Arial"/>
          <w:color w:val="000000"/>
          <w:lang w:val="en"/>
        </w:rPr>
        <w:t>;</w:t>
      </w:r>
    </w:p>
    <w:p w14:paraId="27A31CC9" w14:textId="631817B1" w:rsidR="00AA55A7" w:rsidRPr="00991A04" w:rsidRDefault="008A04D7" w:rsidP="007A585D">
      <w:pPr>
        <w:pStyle w:val="ListParagraph"/>
        <w:numPr>
          <w:ilvl w:val="1"/>
          <w:numId w:val="9"/>
        </w:numPr>
        <w:rPr>
          <w:rFonts w:ascii="Arial" w:hAnsi="Arial" w:cs="Arial"/>
        </w:rPr>
      </w:pPr>
      <w:r w:rsidRPr="00991A04">
        <w:rPr>
          <w:rFonts w:ascii="Arial" w:hAnsi="Arial" w:cs="Arial"/>
        </w:rPr>
        <w:t xml:space="preserve">may benefit from </w:t>
      </w:r>
      <w:r w:rsidR="005A6E91">
        <w:rPr>
          <w:rFonts w:ascii="Arial" w:hAnsi="Arial" w:cs="Arial"/>
        </w:rPr>
        <w:t xml:space="preserve">a single lead data </w:t>
      </w:r>
      <w:r w:rsidRPr="00991A04">
        <w:rPr>
          <w:rFonts w:ascii="Arial" w:hAnsi="Arial" w:cs="Arial"/>
        </w:rPr>
        <w:t>protection supervisory</w:t>
      </w:r>
      <w:r w:rsidR="005A6E91">
        <w:rPr>
          <w:rFonts w:ascii="Arial" w:hAnsi="Arial" w:cs="Arial"/>
        </w:rPr>
        <w:t xml:space="preserve"> authority regulating </w:t>
      </w:r>
      <w:r w:rsidRPr="00991A04">
        <w:rPr>
          <w:rFonts w:ascii="Arial" w:hAnsi="Arial" w:cs="Arial"/>
        </w:rPr>
        <w:t xml:space="preserve">processing </w:t>
      </w:r>
      <w:r w:rsidR="00982481" w:rsidRPr="00991A04">
        <w:rPr>
          <w:rFonts w:ascii="Arial" w:hAnsi="Arial" w:cs="Arial"/>
        </w:rPr>
        <w:t xml:space="preserve">activities </w:t>
      </w:r>
      <w:r w:rsidR="005A6E91">
        <w:rPr>
          <w:rFonts w:ascii="Arial" w:hAnsi="Arial" w:cs="Arial"/>
        </w:rPr>
        <w:t xml:space="preserve">across </w:t>
      </w:r>
      <w:r w:rsidRPr="00991A04">
        <w:rPr>
          <w:rFonts w:ascii="Arial" w:hAnsi="Arial" w:cs="Arial"/>
        </w:rPr>
        <w:t>multiple EU Member States</w:t>
      </w:r>
      <w:r w:rsidR="00991A04" w:rsidRPr="00991A04">
        <w:rPr>
          <w:rFonts w:ascii="Arial" w:hAnsi="Arial" w:cs="Arial"/>
        </w:rPr>
        <w:t xml:space="preserve"> </w:t>
      </w:r>
      <w:r w:rsidR="005A6E91" w:rsidRPr="00991A04">
        <w:rPr>
          <w:rFonts w:ascii="Arial" w:hAnsi="Arial" w:cs="Arial"/>
        </w:rPr>
        <w:t xml:space="preserve">under the One Stop mechanism </w:t>
      </w:r>
      <w:r w:rsidR="005A6E91">
        <w:rPr>
          <w:rFonts w:ascii="Arial" w:hAnsi="Arial" w:cs="Arial"/>
        </w:rPr>
        <w:t>b</w:t>
      </w:r>
      <w:r w:rsidR="00991A04" w:rsidRPr="00991A04">
        <w:rPr>
          <w:rFonts w:ascii="Arial" w:hAnsi="Arial" w:cs="Arial"/>
        </w:rPr>
        <w:t xml:space="preserve">ut if </w:t>
      </w:r>
      <w:r w:rsidR="00BF15E8">
        <w:rPr>
          <w:rFonts w:ascii="Arial" w:hAnsi="Arial" w:cs="Arial"/>
        </w:rPr>
        <w:t xml:space="preserve">also </w:t>
      </w:r>
      <w:r w:rsidR="00991A04" w:rsidRPr="00991A04">
        <w:rPr>
          <w:rFonts w:ascii="Arial" w:hAnsi="Arial" w:cs="Arial"/>
        </w:rPr>
        <w:t xml:space="preserve">processing </w:t>
      </w:r>
      <w:r w:rsidR="00991A04">
        <w:rPr>
          <w:rFonts w:ascii="Arial" w:hAnsi="Arial" w:cs="Arial"/>
        </w:rPr>
        <w:t>U</w:t>
      </w:r>
      <w:r w:rsidR="001D7334">
        <w:rPr>
          <w:rFonts w:ascii="Arial" w:hAnsi="Arial" w:cs="Arial"/>
        </w:rPr>
        <w:t>K</w:t>
      </w:r>
      <w:r w:rsidR="00991A04">
        <w:rPr>
          <w:rFonts w:ascii="Arial" w:hAnsi="Arial" w:cs="Arial"/>
        </w:rPr>
        <w:t xml:space="preserve"> citizen data</w:t>
      </w:r>
      <w:r w:rsidR="005A6E91">
        <w:rPr>
          <w:rFonts w:ascii="Arial" w:hAnsi="Arial" w:cs="Arial"/>
        </w:rPr>
        <w:t>,</w:t>
      </w:r>
      <w:r w:rsidR="00991A04">
        <w:rPr>
          <w:rFonts w:ascii="Arial" w:hAnsi="Arial" w:cs="Arial"/>
        </w:rPr>
        <w:t xml:space="preserve"> </w:t>
      </w:r>
      <w:r w:rsidR="002813CC" w:rsidRPr="00991A04">
        <w:rPr>
          <w:rFonts w:ascii="Arial" w:hAnsi="Arial" w:cs="Arial"/>
        </w:rPr>
        <w:t xml:space="preserve">will be subject </w:t>
      </w:r>
      <w:r w:rsidR="00AA55A7" w:rsidRPr="00991A04">
        <w:rPr>
          <w:rFonts w:ascii="Arial" w:hAnsi="Arial" w:cs="Arial"/>
          <w:color w:val="000000"/>
          <w:lang w:val="en" w:eastAsia="en-GB"/>
        </w:rPr>
        <w:t xml:space="preserve">to </w:t>
      </w:r>
      <w:r w:rsidR="00991A04">
        <w:rPr>
          <w:rFonts w:ascii="Arial" w:hAnsi="Arial" w:cs="Arial"/>
          <w:color w:val="000000"/>
          <w:lang w:val="en" w:eastAsia="en-GB"/>
        </w:rPr>
        <w:t xml:space="preserve">UK </w:t>
      </w:r>
      <w:r w:rsidR="00AA55A7" w:rsidRPr="00991A04">
        <w:rPr>
          <w:rFonts w:ascii="Arial" w:hAnsi="Arial" w:cs="Arial"/>
          <w:color w:val="000000"/>
          <w:lang w:val="en" w:eastAsia="en-GB"/>
        </w:rPr>
        <w:t xml:space="preserve">data protection regulation and enforcement by the ICO; </w:t>
      </w:r>
    </w:p>
    <w:p w14:paraId="6BCD3DBB" w14:textId="6AE92A21" w:rsidR="00755FB9" w:rsidRPr="007B7BA2" w:rsidRDefault="00755FB9" w:rsidP="007A585D">
      <w:pPr>
        <w:pStyle w:val="ListParagraph"/>
        <w:numPr>
          <w:ilvl w:val="1"/>
          <w:numId w:val="9"/>
        </w:numPr>
        <w:rPr>
          <w:rFonts w:ascii="Arial" w:hAnsi="Arial" w:cs="Arial"/>
          <w:i/>
        </w:rPr>
      </w:pPr>
      <w:r>
        <w:rPr>
          <w:rFonts w:ascii="Arial" w:hAnsi="Arial" w:cs="Arial"/>
        </w:rPr>
        <w:t xml:space="preserve">may need more than </w:t>
      </w:r>
      <w:r w:rsidR="00043150">
        <w:rPr>
          <w:rFonts w:ascii="Arial" w:hAnsi="Arial" w:cs="Arial"/>
        </w:rPr>
        <w:t xml:space="preserve">a </w:t>
      </w:r>
      <w:r>
        <w:rPr>
          <w:rFonts w:ascii="Arial" w:hAnsi="Arial" w:cs="Arial"/>
        </w:rPr>
        <w:t xml:space="preserve">UK based </w:t>
      </w:r>
      <w:r w:rsidR="00443190" w:rsidRPr="00443190">
        <w:rPr>
          <w:rFonts w:ascii="Arial" w:hAnsi="Arial" w:cs="Arial"/>
        </w:rPr>
        <w:t xml:space="preserve">DPO </w:t>
      </w:r>
      <w:r>
        <w:rPr>
          <w:rFonts w:ascii="Arial" w:hAnsi="Arial" w:cs="Arial"/>
        </w:rPr>
        <w:t xml:space="preserve">to satisfy ‘accessibility’ </w:t>
      </w:r>
      <w:r w:rsidR="00043150">
        <w:rPr>
          <w:rFonts w:ascii="Arial" w:hAnsi="Arial" w:cs="Arial"/>
        </w:rPr>
        <w:t xml:space="preserve">requirements </w:t>
      </w:r>
      <w:r w:rsidRPr="006C0B3D">
        <w:rPr>
          <w:rFonts w:ascii="Arial" w:hAnsi="Arial" w:cs="Arial"/>
          <w:i/>
        </w:rPr>
        <w:t xml:space="preserve">(though </w:t>
      </w:r>
      <w:r w:rsidR="00043150">
        <w:rPr>
          <w:rFonts w:ascii="Arial" w:hAnsi="Arial" w:cs="Arial"/>
          <w:i/>
        </w:rPr>
        <w:t xml:space="preserve">the </w:t>
      </w:r>
      <w:r w:rsidRPr="006C0B3D">
        <w:rPr>
          <w:rFonts w:ascii="Arial" w:hAnsi="Arial" w:cs="Arial"/>
          <w:i/>
        </w:rPr>
        <w:t xml:space="preserve">ICO’s </w:t>
      </w:r>
      <w:hyperlink r:id="rId10" w:history="1">
        <w:r w:rsidRPr="006C0B3D">
          <w:rPr>
            <w:rStyle w:val="Hyperlink"/>
            <w:rFonts w:ascii="Arial" w:hAnsi="Arial" w:cs="Arial"/>
            <w:i/>
            <w:lang w:val="en" w:eastAsia="en-GB"/>
          </w:rPr>
          <w:t>‘Six Steps to Take’</w:t>
        </w:r>
      </w:hyperlink>
      <w:r w:rsidRPr="006C0B3D">
        <w:rPr>
          <w:rFonts w:ascii="Arial" w:hAnsi="Arial" w:cs="Arial"/>
          <w:i/>
          <w:color w:val="000000"/>
          <w:lang w:val="en" w:eastAsia="en-GB"/>
        </w:rPr>
        <w:t xml:space="preserve"> guide </w:t>
      </w:r>
      <w:r w:rsidR="006C0B3D" w:rsidRPr="006C0B3D">
        <w:rPr>
          <w:rFonts w:ascii="Arial" w:hAnsi="Arial" w:cs="Arial"/>
          <w:i/>
          <w:color w:val="000000"/>
          <w:lang w:val="en" w:eastAsia="en-GB"/>
        </w:rPr>
        <w:t xml:space="preserve">states </w:t>
      </w:r>
      <w:r w:rsidRPr="006C0B3D">
        <w:rPr>
          <w:rFonts w:ascii="Arial" w:hAnsi="Arial" w:cs="Arial"/>
          <w:i/>
          <w:color w:val="000000"/>
          <w:lang w:val="en" w:eastAsia="en-GB"/>
        </w:rPr>
        <w:t xml:space="preserve">that if a DPO is in place they can continue in </w:t>
      </w:r>
      <w:r w:rsidR="00043150">
        <w:rPr>
          <w:rFonts w:ascii="Arial" w:hAnsi="Arial" w:cs="Arial"/>
          <w:i/>
          <w:color w:val="000000"/>
          <w:lang w:val="en" w:eastAsia="en-GB"/>
        </w:rPr>
        <w:t xml:space="preserve">the </w:t>
      </w:r>
      <w:r w:rsidRPr="006C0B3D">
        <w:rPr>
          <w:rFonts w:ascii="Arial" w:hAnsi="Arial" w:cs="Arial"/>
          <w:i/>
          <w:color w:val="000000"/>
          <w:lang w:val="en" w:eastAsia="en-GB"/>
        </w:rPr>
        <w:t>same role for both the UK and EU)</w:t>
      </w:r>
    </w:p>
    <w:p w14:paraId="4EA820D4" w14:textId="77777777" w:rsidR="006A0A00" w:rsidRDefault="006A0A00" w:rsidP="009521A7">
      <w:pPr>
        <w:rPr>
          <w:rFonts w:ascii="Arial" w:hAnsi="Arial" w:cs="Arial"/>
        </w:rPr>
      </w:pPr>
    </w:p>
    <w:p w14:paraId="006627C1" w14:textId="14409696" w:rsidR="00E41652" w:rsidRDefault="00CF565D" w:rsidP="00CF565D">
      <w:pPr>
        <w:ind w:left="720" w:hanging="720"/>
        <w:rPr>
          <w:rFonts w:ascii="Arial" w:hAnsi="Arial" w:cs="Arial"/>
        </w:rPr>
      </w:pPr>
      <w:r>
        <w:rPr>
          <w:rFonts w:ascii="Arial" w:hAnsi="Arial" w:cs="Arial"/>
        </w:rPr>
        <w:t>5.10</w:t>
      </w:r>
      <w:r>
        <w:rPr>
          <w:rFonts w:ascii="Arial" w:hAnsi="Arial" w:cs="Arial"/>
        </w:rPr>
        <w:tab/>
      </w:r>
      <w:r w:rsidR="004B487F">
        <w:rPr>
          <w:rFonts w:ascii="Arial" w:hAnsi="Arial" w:cs="Arial"/>
        </w:rPr>
        <w:t>Th</w:t>
      </w:r>
      <w:r w:rsidR="000509D3">
        <w:rPr>
          <w:rFonts w:ascii="Arial" w:hAnsi="Arial" w:cs="Arial"/>
        </w:rPr>
        <w:t>e</w:t>
      </w:r>
      <w:r w:rsidR="00B568DE">
        <w:rPr>
          <w:rFonts w:ascii="Arial" w:hAnsi="Arial" w:cs="Arial"/>
        </w:rPr>
        <w:t xml:space="preserve">se are the </w:t>
      </w:r>
      <w:r w:rsidR="00907457">
        <w:rPr>
          <w:rFonts w:ascii="Arial" w:hAnsi="Arial" w:cs="Arial"/>
        </w:rPr>
        <w:t xml:space="preserve">minimum </w:t>
      </w:r>
      <w:r w:rsidR="00B568DE">
        <w:rPr>
          <w:rFonts w:ascii="Arial" w:hAnsi="Arial" w:cs="Arial"/>
        </w:rPr>
        <w:t xml:space="preserve">considerations that organisations selling into EU markets </w:t>
      </w:r>
      <w:r w:rsidR="00E41652">
        <w:rPr>
          <w:rFonts w:ascii="Arial" w:hAnsi="Arial" w:cs="Arial"/>
        </w:rPr>
        <w:t xml:space="preserve">and/or involved in </w:t>
      </w:r>
      <w:r w:rsidR="00991A04">
        <w:rPr>
          <w:rFonts w:ascii="Arial" w:hAnsi="Arial" w:cs="Arial"/>
        </w:rPr>
        <w:t xml:space="preserve">regular </w:t>
      </w:r>
      <w:r w:rsidR="00E41652">
        <w:rPr>
          <w:rFonts w:ascii="Arial" w:hAnsi="Arial" w:cs="Arial"/>
        </w:rPr>
        <w:t xml:space="preserve">EU data transfers will need to speedily consider in the event of a </w:t>
      </w:r>
      <w:r w:rsidR="005A6E91">
        <w:rPr>
          <w:rFonts w:ascii="Arial" w:hAnsi="Arial" w:cs="Arial"/>
        </w:rPr>
        <w:t>‘</w:t>
      </w:r>
      <w:r w:rsidR="00E41652">
        <w:rPr>
          <w:rFonts w:ascii="Arial" w:hAnsi="Arial" w:cs="Arial"/>
        </w:rPr>
        <w:t>no deal</w:t>
      </w:r>
      <w:r w:rsidR="005A6E91">
        <w:rPr>
          <w:rFonts w:ascii="Arial" w:hAnsi="Arial" w:cs="Arial"/>
        </w:rPr>
        <w:t>’</w:t>
      </w:r>
      <w:r w:rsidR="00E41652">
        <w:rPr>
          <w:rFonts w:ascii="Arial" w:hAnsi="Arial" w:cs="Arial"/>
        </w:rPr>
        <w:t xml:space="preserve"> scenario</w:t>
      </w:r>
      <w:r w:rsidR="00BF15E8">
        <w:rPr>
          <w:rFonts w:ascii="Arial" w:hAnsi="Arial" w:cs="Arial"/>
        </w:rPr>
        <w:t xml:space="preserve"> arising at the end of March</w:t>
      </w:r>
      <w:r w:rsidR="00E41652">
        <w:rPr>
          <w:rFonts w:ascii="Arial" w:hAnsi="Arial" w:cs="Arial"/>
        </w:rPr>
        <w:t xml:space="preserve">. </w:t>
      </w:r>
    </w:p>
    <w:p w14:paraId="7A353A05" w14:textId="21DAA593" w:rsidR="002813CC" w:rsidRDefault="002813CC">
      <w:pPr>
        <w:rPr>
          <w:rFonts w:ascii="Arial" w:hAnsi="Arial" w:cs="Arial"/>
        </w:rPr>
      </w:pPr>
      <w:r>
        <w:rPr>
          <w:rFonts w:ascii="Arial" w:hAnsi="Arial" w:cs="Arial"/>
        </w:rPr>
        <w:t xml:space="preserve"> </w:t>
      </w:r>
    </w:p>
    <w:p w14:paraId="3A7477CF" w14:textId="2E51DDFC" w:rsidR="00B706EC" w:rsidRPr="00E41652" w:rsidRDefault="00CF565D" w:rsidP="00CF565D">
      <w:pPr>
        <w:spacing w:after="240"/>
        <w:ind w:left="720" w:hanging="720"/>
        <w:rPr>
          <w:rFonts w:ascii="Arial" w:hAnsi="Arial" w:cs="Arial"/>
          <w:lang w:val="en" w:eastAsia="en-GB"/>
        </w:rPr>
      </w:pPr>
      <w:r>
        <w:rPr>
          <w:rFonts w:ascii="Arial" w:hAnsi="Arial" w:cs="Arial"/>
          <w:lang w:val="en" w:eastAsia="en-GB"/>
        </w:rPr>
        <w:t>5.11</w:t>
      </w:r>
      <w:r>
        <w:rPr>
          <w:rFonts w:ascii="Arial" w:hAnsi="Arial" w:cs="Arial"/>
          <w:lang w:val="en" w:eastAsia="en-GB"/>
        </w:rPr>
        <w:tab/>
      </w:r>
      <w:r w:rsidR="00907457">
        <w:rPr>
          <w:rFonts w:ascii="Arial" w:hAnsi="Arial" w:cs="Arial"/>
          <w:lang w:val="en" w:eastAsia="en-GB"/>
        </w:rPr>
        <w:t xml:space="preserve">However, </w:t>
      </w:r>
      <w:r w:rsidR="00031292" w:rsidRPr="00E41652">
        <w:rPr>
          <w:rFonts w:ascii="Arial" w:hAnsi="Arial" w:cs="Arial"/>
          <w:lang w:val="en" w:eastAsia="en-GB"/>
        </w:rPr>
        <w:t xml:space="preserve">ICO guidance indicates that </w:t>
      </w:r>
      <w:r w:rsidR="00E41652" w:rsidRPr="00E41652">
        <w:rPr>
          <w:rFonts w:ascii="Arial" w:hAnsi="Arial" w:cs="Arial"/>
          <w:lang w:val="en" w:eastAsia="en-GB"/>
        </w:rPr>
        <w:t xml:space="preserve">after Exit </w:t>
      </w:r>
      <w:r w:rsidR="00DB5898">
        <w:rPr>
          <w:rFonts w:ascii="Arial" w:hAnsi="Arial" w:cs="Arial"/>
          <w:lang w:val="en" w:eastAsia="en-GB"/>
        </w:rPr>
        <w:t>D</w:t>
      </w:r>
      <w:r w:rsidR="00E41652" w:rsidRPr="00E41652">
        <w:rPr>
          <w:rFonts w:ascii="Arial" w:hAnsi="Arial" w:cs="Arial"/>
          <w:lang w:val="en" w:eastAsia="en-GB"/>
        </w:rPr>
        <w:t xml:space="preserve">ay </w:t>
      </w:r>
      <w:r w:rsidR="00031292" w:rsidRPr="00E41652">
        <w:rPr>
          <w:rFonts w:ascii="Arial" w:hAnsi="Arial" w:cs="Arial"/>
          <w:lang w:val="en" w:eastAsia="en-GB"/>
        </w:rPr>
        <w:t>organi</w:t>
      </w:r>
      <w:r w:rsidR="00B706EC" w:rsidRPr="00E41652">
        <w:rPr>
          <w:rFonts w:ascii="Arial" w:hAnsi="Arial" w:cs="Arial"/>
          <w:lang w:val="en" w:eastAsia="en-GB"/>
        </w:rPr>
        <w:t>s</w:t>
      </w:r>
      <w:r w:rsidR="00031292" w:rsidRPr="00E41652">
        <w:rPr>
          <w:rFonts w:ascii="Arial" w:hAnsi="Arial" w:cs="Arial"/>
          <w:lang w:val="en" w:eastAsia="en-GB"/>
        </w:rPr>
        <w:t xml:space="preserve">ations will need to </w:t>
      </w:r>
      <w:r w:rsidR="00B706EC" w:rsidRPr="00E41652">
        <w:rPr>
          <w:rFonts w:ascii="Arial" w:hAnsi="Arial" w:cs="Arial"/>
          <w:lang w:val="en" w:eastAsia="en-GB"/>
        </w:rPr>
        <w:t>consider two sets of rules</w:t>
      </w:r>
      <w:r w:rsidR="00DE1567" w:rsidRPr="00E41652">
        <w:rPr>
          <w:rStyle w:val="FootnoteReference"/>
          <w:rFonts w:ascii="Arial" w:hAnsi="Arial" w:cs="Arial"/>
          <w:lang w:val="en" w:eastAsia="en-GB"/>
        </w:rPr>
        <w:footnoteReference w:id="6"/>
      </w:r>
      <w:r w:rsidR="00B706EC" w:rsidRPr="00E41652">
        <w:rPr>
          <w:rFonts w:ascii="Arial" w:hAnsi="Arial" w:cs="Arial"/>
          <w:lang w:val="en" w:eastAsia="en-GB"/>
        </w:rPr>
        <w:t>:</w:t>
      </w:r>
    </w:p>
    <w:p w14:paraId="27CDA809" w14:textId="5701179A" w:rsidR="00031292" w:rsidRPr="00E41652" w:rsidRDefault="00B706EC" w:rsidP="007A585D">
      <w:pPr>
        <w:pStyle w:val="ListParagraph"/>
        <w:numPr>
          <w:ilvl w:val="0"/>
          <w:numId w:val="11"/>
        </w:numPr>
        <w:spacing w:before="100" w:beforeAutospacing="1" w:after="100" w:afterAutospacing="1"/>
        <w:rPr>
          <w:rFonts w:ascii="Arial" w:hAnsi="Arial" w:cs="Arial"/>
          <w:lang w:val="en" w:eastAsia="en-GB"/>
        </w:rPr>
      </w:pPr>
      <w:r w:rsidRPr="00E41652">
        <w:rPr>
          <w:rFonts w:ascii="Arial" w:hAnsi="Arial" w:cs="Arial"/>
          <w:b/>
          <w:lang w:val="en" w:eastAsia="en-GB"/>
        </w:rPr>
        <w:t>UK data protection rules</w:t>
      </w:r>
      <w:r w:rsidRPr="00E41652">
        <w:rPr>
          <w:rFonts w:ascii="Arial" w:hAnsi="Arial" w:cs="Arial"/>
          <w:lang w:val="en" w:eastAsia="en-GB"/>
        </w:rPr>
        <w:t xml:space="preserve">: </w:t>
      </w:r>
      <w:r w:rsidR="00031292" w:rsidRPr="00E41652">
        <w:rPr>
          <w:rFonts w:ascii="Arial" w:hAnsi="Arial" w:cs="Arial"/>
          <w:lang w:val="en" w:eastAsia="en-GB"/>
        </w:rPr>
        <w:t>if making a restricted transfer outwards from the UK; and</w:t>
      </w:r>
    </w:p>
    <w:p w14:paraId="17B41BDE" w14:textId="211EDF5B" w:rsidR="00031292" w:rsidRPr="00E41652" w:rsidRDefault="00B706EC" w:rsidP="007A585D">
      <w:pPr>
        <w:pStyle w:val="ListParagraph"/>
        <w:numPr>
          <w:ilvl w:val="0"/>
          <w:numId w:val="11"/>
        </w:numPr>
        <w:spacing w:before="100" w:beforeAutospacing="1" w:after="100" w:afterAutospacing="1"/>
        <w:rPr>
          <w:rFonts w:ascii="Arial" w:hAnsi="Arial" w:cs="Arial"/>
          <w:lang w:val="en" w:eastAsia="en-GB"/>
        </w:rPr>
      </w:pPr>
      <w:r w:rsidRPr="00E41652">
        <w:rPr>
          <w:rFonts w:ascii="Arial" w:hAnsi="Arial" w:cs="Arial"/>
          <w:b/>
          <w:lang w:val="en" w:eastAsia="en-GB"/>
        </w:rPr>
        <w:t>Other non UK data protection rules:</w:t>
      </w:r>
      <w:r w:rsidRPr="00E41652">
        <w:rPr>
          <w:rFonts w:ascii="Arial" w:hAnsi="Arial" w:cs="Arial"/>
          <w:lang w:val="en" w:eastAsia="en-GB"/>
        </w:rPr>
        <w:t xml:space="preserve"> </w:t>
      </w:r>
      <w:r w:rsidR="00031292" w:rsidRPr="00E41652">
        <w:rPr>
          <w:rFonts w:ascii="Arial" w:hAnsi="Arial" w:cs="Arial"/>
          <w:lang w:val="en" w:eastAsia="en-GB"/>
        </w:rPr>
        <w:t>if receiving personal data from outside the UK (including from the EEA) into the UK.</w:t>
      </w:r>
    </w:p>
    <w:p w14:paraId="03CB290C" w14:textId="08FE78D0" w:rsidR="00E41652" w:rsidRDefault="00CF565D" w:rsidP="00CF565D">
      <w:pPr>
        <w:ind w:left="720" w:hanging="720"/>
        <w:rPr>
          <w:rFonts w:ascii="Arial" w:hAnsi="Arial" w:cs="Arial"/>
          <w:color w:val="4472C4" w:themeColor="accent5"/>
        </w:rPr>
      </w:pPr>
      <w:r>
        <w:rPr>
          <w:rFonts w:ascii="Arial" w:hAnsi="Arial" w:cs="Arial"/>
        </w:rPr>
        <w:t>5.12</w:t>
      </w:r>
      <w:r>
        <w:rPr>
          <w:rFonts w:ascii="Arial" w:hAnsi="Arial" w:cs="Arial"/>
        </w:rPr>
        <w:tab/>
      </w:r>
      <w:r w:rsidR="00E41652" w:rsidRPr="00E41652">
        <w:rPr>
          <w:rFonts w:ascii="Arial" w:hAnsi="Arial" w:cs="Arial"/>
        </w:rPr>
        <w:t xml:space="preserve">This </w:t>
      </w:r>
      <w:r w:rsidR="00F72099">
        <w:rPr>
          <w:rFonts w:ascii="Arial" w:hAnsi="Arial" w:cs="Arial"/>
        </w:rPr>
        <w:t xml:space="preserve">is because additional regulatory requirements will flow from the </w:t>
      </w:r>
      <w:r w:rsidR="00E41652" w:rsidRPr="00E41652">
        <w:rPr>
          <w:rFonts w:ascii="Arial" w:hAnsi="Arial" w:cs="Arial"/>
        </w:rPr>
        <w:t xml:space="preserve">Government’s recently published draft instrument </w:t>
      </w:r>
      <w:r w:rsidR="00F72099">
        <w:rPr>
          <w:rFonts w:ascii="Arial" w:hAnsi="Arial" w:cs="Arial"/>
        </w:rPr>
        <w:t xml:space="preserve">seeking to </w:t>
      </w:r>
      <w:r w:rsidR="00E41652" w:rsidRPr="00E41652">
        <w:rPr>
          <w:rFonts w:ascii="Arial" w:hAnsi="Arial" w:cs="Arial"/>
        </w:rPr>
        <w:t>amend UK data protection law</w:t>
      </w:r>
      <w:r w:rsidR="00E41652">
        <w:rPr>
          <w:rFonts w:ascii="Arial" w:hAnsi="Arial" w:cs="Arial"/>
          <w:color w:val="4472C4" w:themeColor="accent5"/>
        </w:rPr>
        <w:t>.</w:t>
      </w:r>
    </w:p>
    <w:p w14:paraId="5BBC16D4" w14:textId="23F276F8" w:rsidR="00DD7420" w:rsidRPr="00DC6823" w:rsidRDefault="00E41652" w:rsidP="0002049F">
      <w:pPr>
        <w:rPr>
          <w:rFonts w:ascii="Arial" w:hAnsi="Arial" w:cs="Arial"/>
          <w:color w:val="4472C4" w:themeColor="accent5"/>
        </w:rPr>
      </w:pPr>
      <w:r>
        <w:rPr>
          <w:rFonts w:ascii="Arial" w:hAnsi="Arial" w:cs="Arial"/>
          <w:color w:val="4472C4" w:themeColor="accent5"/>
        </w:rPr>
        <w:t xml:space="preserve">  </w:t>
      </w:r>
    </w:p>
    <w:p w14:paraId="522044A0" w14:textId="0CDDBC9B" w:rsidR="0002049F" w:rsidRPr="00DC6823" w:rsidRDefault="00CF565D" w:rsidP="00CF565D">
      <w:pPr>
        <w:ind w:left="720" w:hanging="720"/>
        <w:rPr>
          <w:rFonts w:ascii="Arial" w:hAnsi="Arial" w:cs="Arial"/>
          <w:color w:val="4472C4" w:themeColor="accent5"/>
        </w:rPr>
      </w:pPr>
      <w:r>
        <w:rPr>
          <w:rFonts w:ascii="Arial" w:hAnsi="Arial" w:cs="Arial"/>
        </w:rPr>
        <w:t>5.13</w:t>
      </w:r>
      <w:r>
        <w:rPr>
          <w:rFonts w:ascii="Arial" w:hAnsi="Arial" w:cs="Arial"/>
        </w:rPr>
        <w:tab/>
      </w:r>
      <w:r w:rsidR="00241356" w:rsidRPr="00E41652">
        <w:rPr>
          <w:rFonts w:ascii="Arial" w:hAnsi="Arial" w:cs="Arial"/>
        </w:rPr>
        <w:t xml:space="preserve">As further explained in </w:t>
      </w:r>
      <w:r w:rsidR="00241356" w:rsidRPr="005A6E91">
        <w:rPr>
          <w:rFonts w:ascii="Arial" w:hAnsi="Arial" w:cs="Arial"/>
        </w:rPr>
        <w:t xml:space="preserve">section </w:t>
      </w:r>
      <w:r w:rsidR="00DB5898" w:rsidRPr="005A6E91">
        <w:rPr>
          <w:rFonts w:ascii="Arial" w:hAnsi="Arial" w:cs="Arial"/>
        </w:rPr>
        <w:t>7</w:t>
      </w:r>
      <w:r w:rsidR="00241356" w:rsidRPr="005A6E91">
        <w:rPr>
          <w:rFonts w:ascii="Arial" w:hAnsi="Arial" w:cs="Arial"/>
        </w:rPr>
        <w:t xml:space="preserve">, </w:t>
      </w:r>
      <w:r w:rsidR="00C04C0B" w:rsidRPr="00E41652">
        <w:rPr>
          <w:rFonts w:ascii="Arial" w:hAnsi="Arial" w:cs="Arial"/>
          <w:color w:val="000000" w:themeColor="text1"/>
        </w:rPr>
        <w:t xml:space="preserve">this draft statutory instrument </w:t>
      </w:r>
      <w:r w:rsidR="0002049F" w:rsidRPr="00E41652">
        <w:rPr>
          <w:rFonts w:ascii="Arial" w:hAnsi="Arial" w:cs="Arial"/>
          <w:color w:val="000000" w:themeColor="text1"/>
        </w:rPr>
        <w:t>intends to create a mirror image of the GDPR in UK law</w:t>
      </w:r>
      <w:r w:rsidR="00BB137A" w:rsidRPr="00E41652">
        <w:rPr>
          <w:rFonts w:ascii="Arial" w:hAnsi="Arial" w:cs="Arial"/>
          <w:color w:val="000000" w:themeColor="text1"/>
        </w:rPr>
        <w:t xml:space="preserve"> – to be known as </w:t>
      </w:r>
      <w:r w:rsidR="0002049F" w:rsidRPr="00E41652">
        <w:rPr>
          <w:rFonts w:ascii="Arial" w:hAnsi="Arial" w:cs="Arial"/>
          <w:color w:val="000000" w:themeColor="text1"/>
        </w:rPr>
        <w:t xml:space="preserve">the ‘UK GDPR’ </w:t>
      </w:r>
      <w:r w:rsidR="00BB137A" w:rsidRPr="00E41652">
        <w:rPr>
          <w:rFonts w:ascii="Arial" w:hAnsi="Arial" w:cs="Arial"/>
          <w:color w:val="000000" w:themeColor="text1"/>
        </w:rPr>
        <w:t xml:space="preserve">– </w:t>
      </w:r>
      <w:r w:rsidR="0002049F" w:rsidRPr="00E41652">
        <w:rPr>
          <w:rFonts w:ascii="Arial" w:hAnsi="Arial" w:cs="Arial"/>
          <w:color w:val="000000" w:themeColor="text1"/>
        </w:rPr>
        <w:t xml:space="preserve">with all the </w:t>
      </w:r>
      <w:r w:rsidR="00BB137A" w:rsidRPr="00E41652">
        <w:rPr>
          <w:rFonts w:ascii="Arial" w:hAnsi="Arial" w:cs="Arial"/>
          <w:color w:val="000000" w:themeColor="text1"/>
        </w:rPr>
        <w:t xml:space="preserve">same </w:t>
      </w:r>
      <w:r w:rsidR="0002049F" w:rsidRPr="00E41652">
        <w:rPr>
          <w:rFonts w:ascii="Arial" w:hAnsi="Arial" w:cs="Arial"/>
          <w:color w:val="000000" w:themeColor="text1"/>
        </w:rPr>
        <w:t>features on extra</w:t>
      </w:r>
      <w:r w:rsidR="00BB137A" w:rsidRPr="00E41652">
        <w:rPr>
          <w:rFonts w:ascii="Arial" w:hAnsi="Arial" w:cs="Arial"/>
          <w:color w:val="000000" w:themeColor="text1"/>
        </w:rPr>
        <w:t>-</w:t>
      </w:r>
      <w:r w:rsidR="0002049F" w:rsidRPr="00E41652">
        <w:rPr>
          <w:rFonts w:ascii="Arial" w:hAnsi="Arial" w:cs="Arial"/>
          <w:color w:val="000000" w:themeColor="text1"/>
        </w:rPr>
        <w:t xml:space="preserve">territorial scope and rules for controllers and processors </w:t>
      </w:r>
      <w:r w:rsidR="00F72099">
        <w:rPr>
          <w:rFonts w:ascii="Arial" w:hAnsi="Arial" w:cs="Arial"/>
          <w:color w:val="000000" w:themeColor="text1"/>
        </w:rPr>
        <w:t xml:space="preserve">processing UK data outside the UK </w:t>
      </w:r>
      <w:r w:rsidR="005C7E1B" w:rsidRPr="00E41652">
        <w:rPr>
          <w:rFonts w:ascii="Arial" w:hAnsi="Arial" w:cs="Arial"/>
          <w:color w:val="000000" w:themeColor="text1"/>
        </w:rPr>
        <w:t xml:space="preserve">as </w:t>
      </w:r>
      <w:r w:rsidR="00F72099">
        <w:rPr>
          <w:rFonts w:ascii="Arial" w:hAnsi="Arial" w:cs="Arial"/>
          <w:color w:val="000000" w:themeColor="text1"/>
        </w:rPr>
        <w:t xml:space="preserve">those that </w:t>
      </w:r>
      <w:r w:rsidR="006E61A8" w:rsidRPr="00E41652">
        <w:rPr>
          <w:rFonts w:ascii="Arial" w:hAnsi="Arial" w:cs="Arial"/>
          <w:color w:val="000000" w:themeColor="text1"/>
        </w:rPr>
        <w:t xml:space="preserve">exist </w:t>
      </w:r>
      <w:r w:rsidR="005C7E1B" w:rsidRPr="00E41652">
        <w:rPr>
          <w:rFonts w:ascii="Arial" w:hAnsi="Arial" w:cs="Arial"/>
          <w:color w:val="000000" w:themeColor="text1"/>
        </w:rPr>
        <w:t xml:space="preserve">under the </w:t>
      </w:r>
      <w:r w:rsidR="00BF15E8">
        <w:rPr>
          <w:rFonts w:ascii="Arial" w:hAnsi="Arial" w:cs="Arial"/>
          <w:color w:val="000000" w:themeColor="text1"/>
        </w:rPr>
        <w:t>i</w:t>
      </w:r>
      <w:r w:rsidR="002813CC" w:rsidRPr="00E41652">
        <w:rPr>
          <w:rFonts w:ascii="Arial" w:hAnsi="Arial" w:cs="Arial"/>
          <w:color w:val="000000" w:themeColor="text1"/>
        </w:rPr>
        <w:t xml:space="preserve">nternational data transfer rules </w:t>
      </w:r>
      <w:r w:rsidR="005C7E1B" w:rsidRPr="00E41652">
        <w:rPr>
          <w:rFonts w:ascii="Arial" w:hAnsi="Arial" w:cs="Arial"/>
          <w:color w:val="000000" w:themeColor="text1"/>
        </w:rPr>
        <w:t>in relation to ‘</w:t>
      </w:r>
      <w:r w:rsidR="00BB137A" w:rsidRPr="00E41652">
        <w:rPr>
          <w:rFonts w:ascii="Arial" w:hAnsi="Arial" w:cs="Arial"/>
          <w:color w:val="000000" w:themeColor="text1"/>
        </w:rPr>
        <w:t>third countries</w:t>
      </w:r>
      <w:r w:rsidR="005C7E1B" w:rsidRPr="00E41652">
        <w:rPr>
          <w:rFonts w:ascii="Arial" w:hAnsi="Arial" w:cs="Arial"/>
          <w:color w:val="000000" w:themeColor="text1"/>
        </w:rPr>
        <w:t>’</w:t>
      </w:r>
      <w:r w:rsidR="00BF15E8">
        <w:rPr>
          <w:rFonts w:ascii="Arial" w:hAnsi="Arial" w:cs="Arial"/>
          <w:color w:val="000000" w:themeColor="text1"/>
        </w:rPr>
        <w:t xml:space="preserve"> under the (EU) GDPR, referenced earlier</w:t>
      </w:r>
      <w:r w:rsidR="005C7E1B" w:rsidRPr="00E41652">
        <w:rPr>
          <w:rFonts w:ascii="Arial" w:hAnsi="Arial" w:cs="Arial"/>
          <w:color w:val="000000" w:themeColor="text1"/>
        </w:rPr>
        <w:t>.</w:t>
      </w:r>
      <w:r w:rsidR="00BB137A" w:rsidRPr="00E41652">
        <w:rPr>
          <w:rFonts w:ascii="Arial" w:hAnsi="Arial" w:cs="Arial"/>
          <w:color w:val="000000" w:themeColor="text1"/>
        </w:rPr>
        <w:t xml:space="preserve"> </w:t>
      </w:r>
    </w:p>
    <w:p w14:paraId="7C4AB3E9" w14:textId="77777777" w:rsidR="0002049F" w:rsidRPr="00DC6823" w:rsidRDefault="0002049F" w:rsidP="0002049F">
      <w:pPr>
        <w:rPr>
          <w:rFonts w:ascii="Arial" w:hAnsi="Arial" w:cs="Arial"/>
          <w:color w:val="4472C4" w:themeColor="accent5"/>
        </w:rPr>
      </w:pPr>
    </w:p>
    <w:p w14:paraId="0149A37E" w14:textId="77777777" w:rsidR="008964F5" w:rsidRDefault="008964F5">
      <w:pPr>
        <w:rPr>
          <w:rFonts w:ascii="Arial" w:hAnsi="Arial" w:cs="Arial"/>
        </w:rPr>
      </w:pPr>
      <w:r>
        <w:rPr>
          <w:rFonts w:ascii="Arial" w:hAnsi="Arial" w:cs="Arial"/>
        </w:rPr>
        <w:t xml:space="preserve"> </w:t>
      </w:r>
    </w:p>
    <w:p w14:paraId="0111D9BE" w14:textId="7473C12E" w:rsidR="003E464A" w:rsidRPr="00F0194D" w:rsidRDefault="00CF565D" w:rsidP="00CF565D">
      <w:pPr>
        <w:ind w:left="720" w:hanging="720"/>
        <w:rPr>
          <w:rFonts w:ascii="Arial" w:hAnsi="Arial" w:cs="Arial"/>
          <w:b/>
        </w:rPr>
      </w:pPr>
      <w:r>
        <w:rPr>
          <w:rFonts w:ascii="Arial" w:hAnsi="Arial" w:cs="Arial"/>
          <w:b/>
        </w:rPr>
        <w:t>6.0</w:t>
      </w:r>
      <w:r>
        <w:rPr>
          <w:rFonts w:ascii="Arial" w:hAnsi="Arial" w:cs="Arial"/>
          <w:b/>
        </w:rPr>
        <w:tab/>
      </w:r>
      <w:r w:rsidR="00484B89">
        <w:rPr>
          <w:rFonts w:ascii="Arial" w:hAnsi="Arial" w:cs="Arial"/>
          <w:b/>
        </w:rPr>
        <w:t xml:space="preserve">DCMS </w:t>
      </w:r>
      <w:r w:rsidR="003E464A" w:rsidRPr="00F0194D">
        <w:rPr>
          <w:rFonts w:ascii="Arial" w:hAnsi="Arial" w:cs="Arial"/>
          <w:b/>
        </w:rPr>
        <w:t xml:space="preserve">statement on amendments to data protection law if UK leaves EU without a deal </w:t>
      </w:r>
    </w:p>
    <w:p w14:paraId="661B8A18" w14:textId="77777777" w:rsidR="00F72099" w:rsidRDefault="00F72099" w:rsidP="00991A04">
      <w:pPr>
        <w:rPr>
          <w:rFonts w:ascii="Arial" w:hAnsi="Arial" w:cs="Arial"/>
        </w:rPr>
      </w:pPr>
    </w:p>
    <w:p w14:paraId="64EA698C" w14:textId="17C6F853" w:rsidR="00991A04" w:rsidRDefault="00CF565D" w:rsidP="00CF565D">
      <w:pPr>
        <w:ind w:left="720" w:hanging="720"/>
        <w:rPr>
          <w:rFonts w:ascii="Arial" w:hAnsi="Arial" w:cs="Arial"/>
        </w:rPr>
      </w:pPr>
      <w:r>
        <w:rPr>
          <w:rFonts w:ascii="Arial" w:hAnsi="Arial" w:cs="Arial"/>
        </w:rPr>
        <w:t>6.1</w:t>
      </w:r>
      <w:r>
        <w:rPr>
          <w:rFonts w:ascii="Arial" w:hAnsi="Arial" w:cs="Arial"/>
        </w:rPr>
        <w:tab/>
      </w:r>
      <w:r w:rsidR="00991A04">
        <w:rPr>
          <w:rFonts w:ascii="Arial" w:hAnsi="Arial" w:cs="Arial"/>
        </w:rPr>
        <w:t>Following on from its earlier statement in September</w:t>
      </w:r>
      <w:r w:rsidR="00991A04">
        <w:rPr>
          <w:rStyle w:val="FootnoteReference"/>
          <w:rFonts w:ascii="Arial" w:hAnsi="Arial" w:cs="Arial"/>
        </w:rPr>
        <w:footnoteReference w:id="7"/>
      </w:r>
      <w:r w:rsidR="00991A04">
        <w:rPr>
          <w:rFonts w:ascii="Arial" w:hAnsi="Arial" w:cs="Arial"/>
        </w:rPr>
        <w:t>, the DCMS issued a further notice on 13</w:t>
      </w:r>
      <w:r w:rsidR="00991A04" w:rsidRPr="00F0194D">
        <w:rPr>
          <w:rFonts w:ascii="Arial" w:hAnsi="Arial" w:cs="Arial"/>
          <w:vertAlign w:val="superscript"/>
        </w:rPr>
        <w:t>th</w:t>
      </w:r>
      <w:r w:rsidR="00991A04">
        <w:rPr>
          <w:rFonts w:ascii="Arial" w:hAnsi="Arial" w:cs="Arial"/>
        </w:rPr>
        <w:t xml:space="preserve"> December 2018 outlining the need for and substance of a draft instrument amending data protection law if the UK leaves the EU without a deal</w:t>
      </w:r>
      <w:r w:rsidR="00991A04">
        <w:rPr>
          <w:rStyle w:val="FootnoteReference"/>
          <w:rFonts w:ascii="Arial" w:hAnsi="Arial" w:cs="Arial"/>
        </w:rPr>
        <w:footnoteReference w:id="8"/>
      </w:r>
      <w:r w:rsidR="00991A04">
        <w:rPr>
          <w:rFonts w:ascii="Arial" w:hAnsi="Arial" w:cs="Arial"/>
        </w:rPr>
        <w:t xml:space="preserve">. </w:t>
      </w:r>
    </w:p>
    <w:p w14:paraId="0FE00C82" w14:textId="77777777" w:rsidR="00991A04" w:rsidRDefault="00991A04" w:rsidP="00991A04">
      <w:pPr>
        <w:rPr>
          <w:rFonts w:ascii="Arial" w:hAnsi="Arial" w:cs="Arial"/>
        </w:rPr>
      </w:pPr>
    </w:p>
    <w:p w14:paraId="214C993E" w14:textId="1A8B651C" w:rsidR="00991A04" w:rsidRDefault="00CF565D" w:rsidP="00CF565D">
      <w:pPr>
        <w:ind w:left="720" w:hanging="720"/>
        <w:rPr>
          <w:rFonts w:ascii="Arial" w:hAnsi="Arial" w:cs="Arial"/>
        </w:rPr>
      </w:pPr>
      <w:r>
        <w:rPr>
          <w:rFonts w:ascii="Arial" w:hAnsi="Arial" w:cs="Arial"/>
        </w:rPr>
        <w:t>6.2</w:t>
      </w:r>
      <w:r>
        <w:rPr>
          <w:rFonts w:ascii="Arial" w:hAnsi="Arial" w:cs="Arial"/>
        </w:rPr>
        <w:tab/>
      </w:r>
      <w:r w:rsidR="00991A04" w:rsidRPr="0049401F">
        <w:rPr>
          <w:rFonts w:ascii="Arial" w:hAnsi="Arial" w:cs="Arial"/>
        </w:rPr>
        <w:t>The notice explains that appropriate changes are being made to the GDPR and the Data Protection Act 2018</w:t>
      </w:r>
      <w:r w:rsidR="00991A04">
        <w:rPr>
          <w:rFonts w:ascii="Arial" w:hAnsi="Arial" w:cs="Arial"/>
        </w:rPr>
        <w:t>:</w:t>
      </w:r>
    </w:p>
    <w:p w14:paraId="129F93FA" w14:textId="77777777" w:rsidR="00991A04" w:rsidRDefault="00991A04" w:rsidP="00991A04">
      <w:pPr>
        <w:rPr>
          <w:rFonts w:ascii="Arial" w:hAnsi="Arial" w:cs="Arial"/>
        </w:rPr>
      </w:pPr>
    </w:p>
    <w:p w14:paraId="0EFC96FE" w14:textId="77777777" w:rsidR="00991A04" w:rsidRPr="0049401F" w:rsidRDefault="00991A04" w:rsidP="007A585D">
      <w:pPr>
        <w:pStyle w:val="ListParagraph"/>
        <w:numPr>
          <w:ilvl w:val="0"/>
          <w:numId w:val="12"/>
        </w:numPr>
        <w:rPr>
          <w:rFonts w:ascii="Arial" w:hAnsi="Arial" w:cs="Arial"/>
        </w:rPr>
      </w:pPr>
      <w:r w:rsidRPr="0049401F">
        <w:rPr>
          <w:rFonts w:ascii="Arial" w:hAnsi="Arial" w:cs="Arial"/>
        </w:rPr>
        <w:t>to ensure the UK data protection framework continues to operate effectively after the UK ceases to be an EU Member State, and</w:t>
      </w:r>
    </w:p>
    <w:p w14:paraId="0B395875" w14:textId="77777777" w:rsidR="00991A04" w:rsidRPr="0049401F" w:rsidRDefault="00991A04" w:rsidP="007A585D">
      <w:pPr>
        <w:pStyle w:val="ListParagraph"/>
        <w:numPr>
          <w:ilvl w:val="0"/>
          <w:numId w:val="12"/>
        </w:numPr>
        <w:rPr>
          <w:rFonts w:ascii="Arial" w:hAnsi="Arial" w:cs="Arial"/>
        </w:rPr>
      </w:pPr>
      <w:r w:rsidRPr="0049401F">
        <w:rPr>
          <w:rFonts w:ascii="Arial" w:hAnsi="Arial" w:cs="Arial"/>
        </w:rPr>
        <w:t xml:space="preserve">that the regulations and more detailed guidance </w:t>
      </w:r>
      <w:r>
        <w:rPr>
          <w:rFonts w:ascii="Arial" w:hAnsi="Arial" w:cs="Arial"/>
        </w:rPr>
        <w:t xml:space="preserve">are to be published </w:t>
      </w:r>
      <w:r w:rsidRPr="0049401F">
        <w:rPr>
          <w:rFonts w:ascii="Arial" w:hAnsi="Arial" w:cs="Arial"/>
        </w:rPr>
        <w:t>in the next few weeks.</w:t>
      </w:r>
    </w:p>
    <w:p w14:paraId="0EF9F48D" w14:textId="77777777" w:rsidR="0049401F" w:rsidRPr="0049401F" w:rsidRDefault="0049401F" w:rsidP="0049401F">
      <w:pPr>
        <w:rPr>
          <w:rFonts w:ascii="Arial" w:hAnsi="Arial" w:cs="Arial"/>
          <w:i/>
          <w:color w:val="0B0C0C"/>
        </w:rPr>
      </w:pPr>
    </w:p>
    <w:p w14:paraId="23E9CA28" w14:textId="70B2A5B5" w:rsidR="001D7A26" w:rsidRDefault="00CF565D" w:rsidP="00CF565D">
      <w:pPr>
        <w:pStyle w:val="Heading2"/>
        <w:ind w:left="720" w:hanging="720"/>
        <w:rPr>
          <w:color w:val="000000"/>
        </w:rPr>
      </w:pPr>
      <w:r>
        <w:rPr>
          <w:i w:val="0"/>
          <w:sz w:val="24"/>
          <w:szCs w:val="24"/>
        </w:rPr>
        <w:t>7.0</w:t>
      </w:r>
      <w:r>
        <w:rPr>
          <w:i w:val="0"/>
          <w:sz w:val="24"/>
          <w:szCs w:val="24"/>
        </w:rPr>
        <w:tab/>
      </w:r>
      <w:r w:rsidR="000B51DC">
        <w:rPr>
          <w:i w:val="0"/>
          <w:sz w:val="24"/>
          <w:szCs w:val="24"/>
        </w:rPr>
        <w:t xml:space="preserve">Draft </w:t>
      </w:r>
      <w:r w:rsidR="001D7A26" w:rsidRPr="001D4507">
        <w:rPr>
          <w:i w:val="0"/>
          <w:sz w:val="24"/>
          <w:szCs w:val="24"/>
        </w:rPr>
        <w:t>Data Protection, Privacy and Electronic Communications (Amendments etc) (EU Exit) Regulations 2019</w:t>
      </w:r>
      <w:r w:rsidR="002C0A93">
        <w:rPr>
          <w:rStyle w:val="FootnoteReference"/>
          <w:i w:val="0"/>
          <w:sz w:val="24"/>
          <w:szCs w:val="24"/>
        </w:rPr>
        <w:footnoteReference w:id="9"/>
      </w:r>
      <w:r w:rsidR="001D7A26" w:rsidRPr="001D4507">
        <w:rPr>
          <w:color w:val="000000"/>
        </w:rPr>
        <w:t xml:space="preserve"> </w:t>
      </w:r>
    </w:p>
    <w:p w14:paraId="5AFD197A" w14:textId="77777777" w:rsidR="001D7A26" w:rsidRDefault="001D7A26" w:rsidP="001D7A26"/>
    <w:p w14:paraId="2F167B5D" w14:textId="108BF5FC" w:rsidR="00DC6823" w:rsidRDefault="00CF565D" w:rsidP="0049401F">
      <w:pPr>
        <w:rPr>
          <w:rFonts w:ascii="Arial" w:hAnsi="Arial" w:cs="Arial"/>
          <w:lang w:eastAsia="en-GB"/>
        </w:rPr>
      </w:pPr>
      <w:r>
        <w:rPr>
          <w:rFonts w:ascii="Arial" w:hAnsi="Arial" w:cs="Arial"/>
          <w:lang w:eastAsia="en-GB"/>
        </w:rPr>
        <w:t>7.1</w:t>
      </w:r>
      <w:r>
        <w:rPr>
          <w:rFonts w:ascii="Arial" w:hAnsi="Arial" w:cs="Arial"/>
          <w:lang w:eastAsia="en-GB"/>
        </w:rPr>
        <w:tab/>
      </w:r>
      <w:r w:rsidR="0049401F" w:rsidRPr="002C0A93">
        <w:rPr>
          <w:rFonts w:ascii="Arial" w:hAnsi="Arial" w:cs="Arial"/>
          <w:lang w:eastAsia="en-GB"/>
        </w:rPr>
        <w:t xml:space="preserve">The </w:t>
      </w:r>
      <w:r w:rsidR="000B51DC">
        <w:rPr>
          <w:rFonts w:ascii="Arial" w:hAnsi="Arial" w:cs="Arial"/>
          <w:lang w:eastAsia="en-GB"/>
        </w:rPr>
        <w:t xml:space="preserve">draft </w:t>
      </w:r>
      <w:r w:rsidR="0049401F" w:rsidRPr="002C0A93">
        <w:rPr>
          <w:rFonts w:ascii="Arial" w:hAnsi="Arial" w:cs="Arial"/>
          <w:lang w:eastAsia="en-GB"/>
        </w:rPr>
        <w:t>Regulations</w:t>
      </w:r>
      <w:r w:rsidR="00DC6823">
        <w:rPr>
          <w:rFonts w:ascii="Arial" w:hAnsi="Arial" w:cs="Arial"/>
          <w:lang w:eastAsia="en-GB"/>
        </w:rPr>
        <w:t xml:space="preserve"> </w:t>
      </w:r>
      <w:r w:rsidR="00E41652">
        <w:rPr>
          <w:rFonts w:ascii="Arial" w:hAnsi="Arial" w:cs="Arial"/>
          <w:lang w:eastAsia="en-GB"/>
        </w:rPr>
        <w:t xml:space="preserve">have now been published and laid </w:t>
      </w:r>
      <w:r w:rsidR="00991A04">
        <w:rPr>
          <w:rFonts w:ascii="Arial" w:hAnsi="Arial" w:cs="Arial"/>
          <w:lang w:eastAsia="en-GB"/>
        </w:rPr>
        <w:t>before</w:t>
      </w:r>
      <w:r w:rsidR="00E41652">
        <w:rPr>
          <w:rFonts w:ascii="Arial" w:hAnsi="Arial" w:cs="Arial"/>
          <w:lang w:eastAsia="en-GB"/>
        </w:rPr>
        <w:t xml:space="preserve"> Parliament</w:t>
      </w:r>
      <w:r w:rsidR="00DC6823">
        <w:rPr>
          <w:rFonts w:ascii="Arial" w:hAnsi="Arial" w:cs="Arial"/>
          <w:lang w:eastAsia="en-GB"/>
        </w:rPr>
        <w:t>.</w:t>
      </w:r>
    </w:p>
    <w:p w14:paraId="7D33F672" w14:textId="32FE95D3" w:rsidR="00DC6823" w:rsidRDefault="0049401F" w:rsidP="0049401F">
      <w:pPr>
        <w:rPr>
          <w:rFonts w:ascii="Arial" w:hAnsi="Arial" w:cs="Arial"/>
        </w:rPr>
      </w:pPr>
      <w:r w:rsidRPr="002C0A93">
        <w:rPr>
          <w:rFonts w:ascii="Arial" w:hAnsi="Arial" w:cs="Arial"/>
          <w:lang w:eastAsia="en-GB"/>
        </w:rPr>
        <w:t xml:space="preserve"> </w:t>
      </w:r>
    </w:p>
    <w:p w14:paraId="12C71492" w14:textId="191BB579" w:rsidR="0049401F" w:rsidRDefault="00CF565D" w:rsidP="001D7334">
      <w:pPr>
        <w:rPr>
          <w:rFonts w:ascii="Arial" w:hAnsi="Arial" w:cs="Arial"/>
          <w:lang w:eastAsia="en-GB"/>
        </w:rPr>
      </w:pPr>
      <w:r>
        <w:rPr>
          <w:rFonts w:ascii="Source Sans Pro" w:hAnsi="Source Sans Pro"/>
          <w:color w:val="212121"/>
          <w:shd w:val="clear" w:color="auto" w:fill="FFFFFF"/>
        </w:rPr>
        <w:t>7.2</w:t>
      </w:r>
      <w:r>
        <w:rPr>
          <w:rFonts w:ascii="Source Sans Pro" w:hAnsi="Source Sans Pro"/>
          <w:color w:val="212121"/>
          <w:shd w:val="clear" w:color="auto" w:fill="FFFFFF"/>
        </w:rPr>
        <w:tab/>
      </w:r>
      <w:r w:rsidR="00577C60">
        <w:rPr>
          <w:rFonts w:ascii="Arial" w:hAnsi="Arial" w:cs="Arial"/>
          <w:lang w:eastAsia="en-GB"/>
        </w:rPr>
        <w:t xml:space="preserve">The </w:t>
      </w:r>
      <w:r w:rsidR="001D7334">
        <w:rPr>
          <w:rFonts w:ascii="Arial" w:hAnsi="Arial" w:cs="Arial"/>
          <w:lang w:eastAsia="en-GB"/>
        </w:rPr>
        <w:t>Regulations seek to</w:t>
      </w:r>
      <w:r w:rsidR="00577C60">
        <w:rPr>
          <w:rFonts w:ascii="Arial" w:hAnsi="Arial" w:cs="Arial"/>
          <w:lang w:eastAsia="en-GB"/>
        </w:rPr>
        <w:t>:</w:t>
      </w:r>
    </w:p>
    <w:p w14:paraId="06781BCF" w14:textId="77777777" w:rsidR="0049401F" w:rsidRPr="002C0A93" w:rsidRDefault="0049401F" w:rsidP="0049401F">
      <w:pPr>
        <w:widowControl w:val="0"/>
        <w:autoSpaceDE w:val="0"/>
        <w:autoSpaceDN w:val="0"/>
        <w:adjustRightInd w:val="0"/>
        <w:jc w:val="both"/>
        <w:rPr>
          <w:rFonts w:ascii="Arial" w:hAnsi="Arial" w:cs="Arial"/>
          <w:lang w:eastAsia="en-GB"/>
        </w:rPr>
      </w:pPr>
    </w:p>
    <w:p w14:paraId="47EE4029" w14:textId="77777777" w:rsidR="00577C60" w:rsidRDefault="0049401F" w:rsidP="007A585D">
      <w:pPr>
        <w:numPr>
          <w:ilvl w:val="0"/>
          <w:numId w:val="1"/>
        </w:numPr>
        <w:shd w:val="clear" w:color="auto" w:fill="FFFFFF"/>
        <w:spacing w:after="75"/>
        <w:rPr>
          <w:rFonts w:ascii="Arial" w:hAnsi="Arial" w:cs="Arial"/>
        </w:rPr>
      </w:pPr>
      <w:r w:rsidRPr="00203B18">
        <w:rPr>
          <w:rFonts w:ascii="Arial" w:hAnsi="Arial" w:cs="Arial"/>
        </w:rPr>
        <w:t xml:space="preserve">Preserve EU GDPR standards in </w:t>
      </w:r>
      <w:r w:rsidR="00260744" w:rsidRPr="00203B18">
        <w:rPr>
          <w:rFonts w:ascii="Arial" w:hAnsi="Arial" w:cs="Arial"/>
        </w:rPr>
        <w:t xml:space="preserve">UK </w:t>
      </w:r>
      <w:r w:rsidRPr="00203B18">
        <w:rPr>
          <w:rFonts w:ascii="Arial" w:hAnsi="Arial" w:cs="Arial"/>
        </w:rPr>
        <w:t>domestic law by creating a single regime for general processing to be known as the “UK GDPR”</w:t>
      </w:r>
      <w:r w:rsidR="00577C60">
        <w:rPr>
          <w:rFonts w:ascii="Arial" w:hAnsi="Arial" w:cs="Arial"/>
        </w:rPr>
        <w:t xml:space="preserve"> achieved by:</w:t>
      </w:r>
    </w:p>
    <w:p w14:paraId="0A31FA30" w14:textId="5EEE7E51" w:rsidR="00577C60" w:rsidRDefault="00820D0E" w:rsidP="007A585D">
      <w:pPr>
        <w:widowControl w:val="0"/>
        <w:numPr>
          <w:ilvl w:val="1"/>
          <w:numId w:val="1"/>
        </w:numPr>
        <w:shd w:val="clear" w:color="auto" w:fill="FFFFFF"/>
        <w:autoSpaceDE w:val="0"/>
        <w:autoSpaceDN w:val="0"/>
        <w:adjustRightInd w:val="0"/>
        <w:spacing w:after="75"/>
        <w:jc w:val="both"/>
        <w:rPr>
          <w:rFonts w:ascii="Arial" w:hAnsi="Arial" w:cs="Arial"/>
        </w:rPr>
      </w:pPr>
      <w:r w:rsidRPr="00820D0E">
        <w:rPr>
          <w:rFonts w:ascii="Arial" w:hAnsi="Arial" w:cs="Arial"/>
        </w:rPr>
        <w:t>re</w:t>
      </w:r>
      <w:r w:rsidR="00577C60" w:rsidRPr="00820D0E">
        <w:rPr>
          <w:rFonts w:ascii="Arial" w:hAnsi="Arial" w:cs="Arial"/>
        </w:rPr>
        <w:t>mov</w:t>
      </w:r>
      <w:r>
        <w:rPr>
          <w:rFonts w:ascii="Arial" w:hAnsi="Arial" w:cs="Arial"/>
        </w:rPr>
        <w:t>al of</w:t>
      </w:r>
      <w:r w:rsidR="00577C60" w:rsidRPr="00820D0E">
        <w:rPr>
          <w:rFonts w:ascii="Arial" w:hAnsi="Arial" w:cs="Arial"/>
        </w:rPr>
        <w:t xml:space="preserve"> references to EU Member States, institutions, procedures and decision-making processes that will no longer be relevant after Exit </w:t>
      </w:r>
      <w:r w:rsidR="005A6E91">
        <w:rPr>
          <w:rFonts w:ascii="Arial" w:hAnsi="Arial" w:cs="Arial"/>
        </w:rPr>
        <w:t>D</w:t>
      </w:r>
      <w:r w:rsidR="00577C60" w:rsidRPr="00820D0E">
        <w:rPr>
          <w:rFonts w:ascii="Arial" w:hAnsi="Arial" w:cs="Arial"/>
        </w:rPr>
        <w:t xml:space="preserve">ay, and </w:t>
      </w:r>
    </w:p>
    <w:p w14:paraId="444F8D40" w14:textId="03C712E1" w:rsidR="00820D0E" w:rsidRDefault="00820D0E" w:rsidP="007A585D">
      <w:pPr>
        <w:widowControl w:val="0"/>
        <w:numPr>
          <w:ilvl w:val="1"/>
          <w:numId w:val="1"/>
        </w:numPr>
        <w:shd w:val="clear" w:color="auto" w:fill="FFFFFF"/>
        <w:autoSpaceDE w:val="0"/>
        <w:autoSpaceDN w:val="0"/>
        <w:adjustRightInd w:val="0"/>
        <w:spacing w:after="75"/>
        <w:jc w:val="both"/>
        <w:rPr>
          <w:rFonts w:ascii="Arial" w:hAnsi="Arial" w:cs="Arial"/>
        </w:rPr>
      </w:pPr>
      <w:r w:rsidRPr="00820D0E">
        <w:rPr>
          <w:rFonts w:ascii="Arial" w:hAnsi="Arial" w:cs="Arial"/>
        </w:rPr>
        <w:t>re</w:t>
      </w:r>
      <w:r w:rsidR="00577C60" w:rsidRPr="00820D0E">
        <w:rPr>
          <w:rFonts w:ascii="Arial" w:hAnsi="Arial" w:cs="Arial"/>
        </w:rPr>
        <w:t>plac</w:t>
      </w:r>
      <w:r>
        <w:rPr>
          <w:rFonts w:ascii="Arial" w:hAnsi="Arial" w:cs="Arial"/>
        </w:rPr>
        <w:t>ement</w:t>
      </w:r>
      <w:r w:rsidR="00577C60" w:rsidRPr="00820D0E">
        <w:rPr>
          <w:rFonts w:ascii="Arial" w:hAnsi="Arial" w:cs="Arial"/>
        </w:rPr>
        <w:t>, where appropriate, with references that will operate correctly in domestic law</w:t>
      </w:r>
      <w:r>
        <w:rPr>
          <w:rFonts w:ascii="Arial" w:hAnsi="Arial" w:cs="Arial"/>
        </w:rPr>
        <w:t>;</w:t>
      </w:r>
    </w:p>
    <w:p w14:paraId="18A29BD6" w14:textId="7C847379" w:rsidR="00577C60" w:rsidRDefault="00820D0E" w:rsidP="007A585D">
      <w:pPr>
        <w:widowControl w:val="0"/>
        <w:numPr>
          <w:ilvl w:val="1"/>
          <w:numId w:val="1"/>
        </w:numPr>
        <w:shd w:val="clear" w:color="auto" w:fill="FFFFFF"/>
        <w:autoSpaceDE w:val="0"/>
        <w:autoSpaceDN w:val="0"/>
        <w:adjustRightInd w:val="0"/>
        <w:spacing w:after="75"/>
        <w:jc w:val="both"/>
        <w:rPr>
          <w:rFonts w:ascii="Source Sans Pro" w:hAnsi="Source Sans Pro"/>
          <w:shd w:val="clear" w:color="auto" w:fill="FFFFFF"/>
        </w:rPr>
      </w:pPr>
      <w:r>
        <w:rPr>
          <w:rFonts w:ascii="Arial" w:hAnsi="Arial" w:cs="Arial"/>
        </w:rPr>
        <w:t xml:space="preserve">merging </w:t>
      </w:r>
      <w:r w:rsidR="00577C60" w:rsidRPr="00820D0E">
        <w:rPr>
          <w:rFonts w:ascii="Arial" w:hAnsi="Arial" w:cs="Arial"/>
        </w:rPr>
        <w:t xml:space="preserve">the </w:t>
      </w:r>
      <w:r w:rsidR="00577C60" w:rsidRPr="00820D0E">
        <w:rPr>
          <w:rFonts w:ascii="Arial" w:hAnsi="Arial" w:cs="Arial"/>
          <w:lang w:eastAsia="en-GB"/>
        </w:rPr>
        <w:t>EU GDPR as rewritten for the UK context with the “applied GDPR”</w:t>
      </w:r>
      <w:r w:rsidR="00991A04">
        <w:rPr>
          <w:rFonts w:ascii="Arial" w:hAnsi="Arial" w:cs="Arial"/>
          <w:lang w:eastAsia="en-GB"/>
        </w:rPr>
        <w:t xml:space="preserve"> (</w:t>
      </w:r>
      <w:r w:rsidR="00577C60" w:rsidRPr="00820D0E">
        <w:rPr>
          <w:rFonts w:ascii="Arial" w:hAnsi="Arial" w:cs="Arial"/>
          <w:lang w:eastAsia="en-GB"/>
        </w:rPr>
        <w:t xml:space="preserve">introduced </w:t>
      </w:r>
      <w:r w:rsidR="00577C60" w:rsidRPr="00820D0E">
        <w:rPr>
          <w:rFonts w:ascii="Source Sans Pro" w:hAnsi="Source Sans Pro"/>
          <w:shd w:val="clear" w:color="auto" w:fill="FFFFFF"/>
        </w:rPr>
        <w:t>in the UK DPA 2018 to extend the EU GDPR standards to certain processing activities outside the scope of EU law, such as the interface between privacy rights and public access information legislation)</w:t>
      </w:r>
      <w:r>
        <w:rPr>
          <w:rFonts w:ascii="Source Sans Pro" w:hAnsi="Source Sans Pro"/>
          <w:shd w:val="clear" w:color="auto" w:fill="FFFFFF"/>
        </w:rPr>
        <w:t>;</w:t>
      </w:r>
    </w:p>
    <w:p w14:paraId="398B2A77" w14:textId="6FEC2C52" w:rsidR="00577C60" w:rsidRPr="00820D0E" w:rsidRDefault="00991A04" w:rsidP="007A585D">
      <w:pPr>
        <w:widowControl w:val="0"/>
        <w:numPr>
          <w:ilvl w:val="1"/>
          <w:numId w:val="1"/>
        </w:numPr>
        <w:shd w:val="clear" w:color="auto" w:fill="FFFFFF"/>
        <w:autoSpaceDE w:val="0"/>
        <w:autoSpaceDN w:val="0"/>
        <w:adjustRightInd w:val="0"/>
        <w:spacing w:after="75"/>
        <w:jc w:val="both"/>
        <w:rPr>
          <w:rFonts w:ascii="Arial" w:hAnsi="Arial" w:cs="Arial"/>
        </w:rPr>
      </w:pPr>
      <w:r>
        <w:rPr>
          <w:rFonts w:ascii="Arial" w:hAnsi="Arial" w:cs="Arial"/>
        </w:rPr>
        <w:t xml:space="preserve">assigning </w:t>
      </w:r>
      <w:r w:rsidR="00577C60" w:rsidRPr="00820D0E">
        <w:rPr>
          <w:rFonts w:ascii="Arial" w:hAnsi="Arial" w:cs="Arial"/>
        </w:rPr>
        <w:t xml:space="preserve">functions residing with the European Commission under the EU GDPR to the Secretary of State or the Information Commissioner under the </w:t>
      </w:r>
      <w:r w:rsidR="00BF15E8">
        <w:rPr>
          <w:rFonts w:ascii="Arial" w:hAnsi="Arial" w:cs="Arial"/>
        </w:rPr>
        <w:t xml:space="preserve">proposed </w:t>
      </w:r>
      <w:r w:rsidR="00577C60" w:rsidRPr="00820D0E">
        <w:rPr>
          <w:rFonts w:ascii="Arial" w:hAnsi="Arial" w:cs="Arial"/>
        </w:rPr>
        <w:t>UK GDPR.</w:t>
      </w:r>
    </w:p>
    <w:p w14:paraId="757AE235" w14:textId="77777777" w:rsidR="002E6DA6" w:rsidRPr="00203B18" w:rsidRDefault="002E6DA6" w:rsidP="002E6DA6">
      <w:pPr>
        <w:shd w:val="clear" w:color="auto" w:fill="FFFFFF"/>
        <w:ind w:left="1077"/>
        <w:rPr>
          <w:rFonts w:ascii="Arial" w:hAnsi="Arial" w:cs="Arial"/>
        </w:rPr>
      </w:pPr>
    </w:p>
    <w:p w14:paraId="27F72A44" w14:textId="26B5F627" w:rsidR="002E6DA6" w:rsidRPr="00203B18" w:rsidRDefault="00203B18" w:rsidP="007A585D">
      <w:pPr>
        <w:numPr>
          <w:ilvl w:val="0"/>
          <w:numId w:val="1"/>
        </w:numPr>
        <w:shd w:val="clear" w:color="auto" w:fill="FFFFFF"/>
        <w:spacing w:after="75"/>
        <w:rPr>
          <w:rFonts w:ascii="Arial" w:hAnsi="Arial" w:cs="Arial"/>
          <w:b/>
        </w:rPr>
      </w:pPr>
      <w:r w:rsidRPr="00203B18">
        <w:rPr>
          <w:rFonts w:ascii="Source Sans Pro" w:hAnsi="Source Sans Pro"/>
          <w:shd w:val="clear" w:color="auto" w:fill="FFFFFF"/>
        </w:rPr>
        <w:t>Amend the DPA 2018 and r</w:t>
      </w:r>
      <w:r w:rsidR="002E6DA6" w:rsidRPr="00203B18">
        <w:rPr>
          <w:rFonts w:ascii="Source Sans Pro" w:hAnsi="Source Sans Pro"/>
          <w:shd w:val="clear" w:color="auto" w:fill="FFFFFF"/>
        </w:rPr>
        <w:t>etain separate regimes for law enforcement and intelligence services processing;</w:t>
      </w:r>
    </w:p>
    <w:p w14:paraId="2DCE9C23" w14:textId="77777777" w:rsidR="002E6DA6" w:rsidRDefault="002E6DA6" w:rsidP="002E6DA6">
      <w:pPr>
        <w:shd w:val="clear" w:color="auto" w:fill="FFFFFF"/>
        <w:spacing w:after="75"/>
        <w:ind w:left="720"/>
        <w:rPr>
          <w:rFonts w:ascii="Arial" w:hAnsi="Arial" w:cs="Arial"/>
          <w:b/>
          <w:color w:val="FF0000"/>
        </w:rPr>
      </w:pPr>
    </w:p>
    <w:p w14:paraId="2B22D8F2" w14:textId="279EA399" w:rsidR="00D03F02" w:rsidRPr="00203B18" w:rsidRDefault="00D03F02" w:rsidP="007A585D">
      <w:pPr>
        <w:numPr>
          <w:ilvl w:val="0"/>
          <w:numId w:val="1"/>
        </w:numPr>
        <w:shd w:val="clear" w:color="auto" w:fill="FFFFFF"/>
        <w:spacing w:after="75"/>
        <w:rPr>
          <w:rFonts w:ascii="Arial" w:hAnsi="Arial" w:cs="Arial"/>
        </w:rPr>
      </w:pPr>
      <w:r w:rsidRPr="004D420E">
        <w:rPr>
          <w:rFonts w:ascii="Arial" w:hAnsi="Arial" w:cs="Arial"/>
        </w:rPr>
        <w:t xml:space="preserve">Preserve the </w:t>
      </w:r>
      <w:r>
        <w:rPr>
          <w:rFonts w:ascii="Arial" w:hAnsi="Arial" w:cs="Arial"/>
        </w:rPr>
        <w:t xml:space="preserve">effect of adequacy decisions made directly by the EU Commission in respect of a country or territory outside of the EU prior to Exit </w:t>
      </w:r>
      <w:r w:rsidR="00DB5898">
        <w:rPr>
          <w:rFonts w:ascii="Arial" w:hAnsi="Arial" w:cs="Arial"/>
        </w:rPr>
        <w:t>D</w:t>
      </w:r>
      <w:r>
        <w:rPr>
          <w:rFonts w:ascii="Arial" w:hAnsi="Arial" w:cs="Arial"/>
        </w:rPr>
        <w:t xml:space="preserve">ay </w:t>
      </w:r>
      <w:r w:rsidR="00991A04">
        <w:rPr>
          <w:rFonts w:ascii="Arial" w:hAnsi="Arial" w:cs="Arial"/>
        </w:rPr>
        <w:t xml:space="preserve">by writing these into </w:t>
      </w:r>
      <w:r>
        <w:rPr>
          <w:rFonts w:ascii="Arial" w:hAnsi="Arial" w:cs="Arial"/>
        </w:rPr>
        <w:t xml:space="preserve">the UK GDPR </w:t>
      </w:r>
      <w:r w:rsidRPr="004D420E">
        <w:rPr>
          <w:rFonts w:ascii="Arial" w:hAnsi="Arial" w:cs="Arial"/>
        </w:rPr>
        <w:t>on a transitional basis</w:t>
      </w:r>
      <w:r>
        <w:rPr>
          <w:rFonts w:ascii="Arial" w:hAnsi="Arial" w:cs="Arial"/>
        </w:rPr>
        <w:t>;</w:t>
      </w:r>
    </w:p>
    <w:p w14:paraId="01A51285" w14:textId="77777777" w:rsidR="00D03F02" w:rsidRPr="00203B18" w:rsidRDefault="00D03F02" w:rsidP="00D03F02">
      <w:pPr>
        <w:pStyle w:val="ListParagraph"/>
        <w:rPr>
          <w:rFonts w:ascii="Arial" w:hAnsi="Arial" w:cs="Arial"/>
        </w:rPr>
      </w:pPr>
    </w:p>
    <w:p w14:paraId="66763E87" w14:textId="3D56C919" w:rsidR="0049401F" w:rsidRPr="00203B18" w:rsidRDefault="0049401F" w:rsidP="007A585D">
      <w:pPr>
        <w:numPr>
          <w:ilvl w:val="0"/>
          <w:numId w:val="1"/>
        </w:numPr>
        <w:shd w:val="clear" w:color="auto" w:fill="FFFFFF"/>
        <w:spacing w:after="75"/>
        <w:rPr>
          <w:rFonts w:ascii="Arial" w:hAnsi="Arial" w:cs="Arial"/>
        </w:rPr>
      </w:pPr>
      <w:r w:rsidRPr="00203B18">
        <w:rPr>
          <w:rFonts w:ascii="Arial" w:hAnsi="Arial" w:cs="Arial"/>
        </w:rPr>
        <w:t>Transitionally recognise</w:t>
      </w:r>
      <w:r w:rsidR="00D03F02" w:rsidRPr="00203B18">
        <w:rPr>
          <w:rFonts w:ascii="Arial" w:hAnsi="Arial" w:cs="Arial"/>
        </w:rPr>
        <w:t>s</w:t>
      </w:r>
      <w:r w:rsidRPr="00203B18">
        <w:rPr>
          <w:rFonts w:ascii="Arial" w:hAnsi="Arial" w:cs="Arial"/>
        </w:rPr>
        <w:t xml:space="preserve"> all EEA countries (including EU Member States) and Gibraltar as ‘adequate’ allow</w:t>
      </w:r>
      <w:r w:rsidR="00203B18">
        <w:rPr>
          <w:rFonts w:ascii="Arial" w:hAnsi="Arial" w:cs="Arial"/>
        </w:rPr>
        <w:t>ing</w:t>
      </w:r>
      <w:r w:rsidRPr="00203B18">
        <w:rPr>
          <w:rFonts w:ascii="Arial" w:hAnsi="Arial" w:cs="Arial"/>
        </w:rPr>
        <w:t xml:space="preserve"> data flows from the UK to </w:t>
      </w:r>
      <w:r w:rsidR="00577C60">
        <w:rPr>
          <w:rFonts w:ascii="Arial" w:hAnsi="Arial" w:cs="Arial"/>
        </w:rPr>
        <w:t xml:space="preserve">the </w:t>
      </w:r>
      <w:r w:rsidRPr="00203B18">
        <w:rPr>
          <w:rFonts w:ascii="Arial" w:hAnsi="Arial" w:cs="Arial"/>
        </w:rPr>
        <w:t>E</w:t>
      </w:r>
      <w:r w:rsidR="00577C60">
        <w:rPr>
          <w:rFonts w:ascii="Arial" w:hAnsi="Arial" w:cs="Arial"/>
        </w:rPr>
        <w:t xml:space="preserve">U </w:t>
      </w:r>
      <w:r w:rsidRPr="00203B18">
        <w:rPr>
          <w:rFonts w:ascii="Arial" w:hAnsi="Arial" w:cs="Arial"/>
        </w:rPr>
        <w:t>to continue</w:t>
      </w:r>
      <w:r w:rsidR="004D420E" w:rsidRPr="00203B18">
        <w:rPr>
          <w:rFonts w:ascii="Arial" w:hAnsi="Arial" w:cs="Arial"/>
        </w:rPr>
        <w:t xml:space="preserve">; </w:t>
      </w:r>
    </w:p>
    <w:p w14:paraId="207F4891" w14:textId="77777777" w:rsidR="002E6DA6" w:rsidRPr="004D420E" w:rsidRDefault="002E6DA6" w:rsidP="002E6DA6">
      <w:pPr>
        <w:shd w:val="clear" w:color="auto" w:fill="FFFFFF"/>
        <w:spacing w:after="75"/>
        <w:ind w:left="720"/>
        <w:rPr>
          <w:rFonts w:ascii="Arial" w:hAnsi="Arial" w:cs="Arial"/>
          <w:b/>
          <w:color w:val="FF0000"/>
        </w:rPr>
      </w:pPr>
    </w:p>
    <w:p w14:paraId="6149C118" w14:textId="790E2E4E" w:rsidR="0049401F" w:rsidRDefault="004D420E" w:rsidP="007A585D">
      <w:pPr>
        <w:numPr>
          <w:ilvl w:val="0"/>
          <w:numId w:val="1"/>
        </w:numPr>
        <w:shd w:val="clear" w:color="auto" w:fill="FFFFFF"/>
        <w:spacing w:after="75"/>
        <w:rPr>
          <w:rFonts w:ascii="Arial" w:hAnsi="Arial" w:cs="Arial"/>
        </w:rPr>
      </w:pPr>
      <w:r>
        <w:rPr>
          <w:rFonts w:ascii="Arial" w:hAnsi="Arial" w:cs="Arial"/>
        </w:rPr>
        <w:t>I</w:t>
      </w:r>
      <w:r w:rsidRPr="004D420E">
        <w:rPr>
          <w:rFonts w:ascii="Arial" w:hAnsi="Arial" w:cs="Arial"/>
        </w:rPr>
        <w:t xml:space="preserve">ntroduce a modified version of the EU-US Privacy Shield for the UK;  </w:t>
      </w:r>
    </w:p>
    <w:p w14:paraId="36AE6275" w14:textId="77777777" w:rsidR="002E6DA6" w:rsidRDefault="002E6DA6" w:rsidP="002E6DA6">
      <w:pPr>
        <w:pStyle w:val="ListParagraph"/>
        <w:rPr>
          <w:rFonts w:ascii="Arial" w:hAnsi="Arial" w:cs="Arial"/>
        </w:rPr>
      </w:pPr>
    </w:p>
    <w:p w14:paraId="3BCE3A62" w14:textId="174D94BE" w:rsidR="00BF15E8" w:rsidRDefault="004D420E" w:rsidP="007A585D">
      <w:pPr>
        <w:numPr>
          <w:ilvl w:val="0"/>
          <w:numId w:val="1"/>
        </w:numPr>
        <w:shd w:val="clear" w:color="auto" w:fill="FFFFFF"/>
        <w:spacing w:after="75"/>
        <w:rPr>
          <w:rFonts w:ascii="Arial" w:hAnsi="Arial" w:cs="Arial"/>
        </w:rPr>
      </w:pPr>
      <w:r w:rsidRPr="004D420E">
        <w:rPr>
          <w:rFonts w:ascii="Arial" w:hAnsi="Arial" w:cs="Arial"/>
          <w:lang w:eastAsia="en-GB"/>
        </w:rPr>
        <w:t>Deal with the international transfer of personal data by introducing powers for the Secretary of State to make “adequacy regulations”</w:t>
      </w:r>
      <w:r w:rsidR="003979A9">
        <w:rPr>
          <w:rFonts w:ascii="Arial" w:hAnsi="Arial" w:cs="Arial"/>
          <w:lang w:eastAsia="en-GB"/>
        </w:rPr>
        <w:t>;</w:t>
      </w:r>
      <w:r w:rsidRPr="004D420E">
        <w:rPr>
          <w:rFonts w:ascii="Arial" w:hAnsi="Arial" w:cs="Arial"/>
          <w:lang w:eastAsia="en-GB"/>
        </w:rPr>
        <w:t xml:space="preserve"> </w:t>
      </w:r>
    </w:p>
    <w:p w14:paraId="070C85E6" w14:textId="77777777" w:rsidR="00BF15E8" w:rsidRDefault="00BF15E8" w:rsidP="00BF15E8">
      <w:pPr>
        <w:pStyle w:val="ListParagraph"/>
        <w:rPr>
          <w:rFonts w:ascii="Arial" w:hAnsi="Arial" w:cs="Arial"/>
          <w:lang w:eastAsia="en-GB"/>
        </w:rPr>
      </w:pPr>
    </w:p>
    <w:p w14:paraId="63A4DC4A" w14:textId="2DD4B9D0" w:rsidR="004D420E" w:rsidRDefault="004D420E" w:rsidP="007A585D">
      <w:pPr>
        <w:numPr>
          <w:ilvl w:val="0"/>
          <w:numId w:val="1"/>
        </w:numPr>
        <w:shd w:val="clear" w:color="auto" w:fill="FFFFFF"/>
        <w:spacing w:after="75"/>
        <w:rPr>
          <w:rFonts w:ascii="Arial" w:hAnsi="Arial" w:cs="Arial"/>
        </w:rPr>
      </w:pPr>
      <w:r w:rsidRPr="004D420E">
        <w:rPr>
          <w:rFonts w:ascii="Arial" w:hAnsi="Arial" w:cs="Arial"/>
          <w:lang w:eastAsia="en-GB"/>
        </w:rPr>
        <w:t>Preserve the extra-territorial applicability of the EU GDPR in the UK GDPR to cover controllers and processors outside the UK (both within and outside the EEA), in certain circumstances;</w:t>
      </w:r>
    </w:p>
    <w:p w14:paraId="306EAD2C" w14:textId="77777777" w:rsidR="002E6DA6" w:rsidRDefault="002E6DA6" w:rsidP="002E6DA6">
      <w:pPr>
        <w:pStyle w:val="ListParagraph"/>
        <w:rPr>
          <w:rFonts w:ascii="Arial" w:hAnsi="Arial" w:cs="Arial"/>
        </w:rPr>
      </w:pPr>
    </w:p>
    <w:p w14:paraId="54E9384D" w14:textId="738C3D41" w:rsidR="004D420E" w:rsidRDefault="004D420E" w:rsidP="007A585D">
      <w:pPr>
        <w:numPr>
          <w:ilvl w:val="0"/>
          <w:numId w:val="1"/>
        </w:numPr>
        <w:shd w:val="clear" w:color="auto" w:fill="FFFFFF"/>
        <w:spacing w:after="75"/>
        <w:rPr>
          <w:rFonts w:ascii="Arial" w:hAnsi="Arial" w:cs="Arial"/>
        </w:rPr>
      </w:pPr>
      <w:r w:rsidRPr="004D420E">
        <w:rPr>
          <w:rFonts w:ascii="Arial" w:hAnsi="Arial" w:cs="Arial"/>
        </w:rPr>
        <w:t>Oblige non-UK controllers who are subject to the UK data protection framework to appoint representatives in the UK if they are processing UK data on a large scale</w:t>
      </w:r>
      <w:r w:rsidR="00260744">
        <w:rPr>
          <w:rFonts w:ascii="Arial" w:hAnsi="Arial" w:cs="Arial"/>
        </w:rPr>
        <w:t>;</w:t>
      </w:r>
    </w:p>
    <w:p w14:paraId="1F37A527" w14:textId="77777777" w:rsidR="002E6DA6" w:rsidRDefault="002E6DA6" w:rsidP="002E6DA6">
      <w:pPr>
        <w:pStyle w:val="ListParagraph"/>
        <w:rPr>
          <w:rFonts w:ascii="Arial" w:hAnsi="Arial" w:cs="Arial"/>
        </w:rPr>
      </w:pPr>
    </w:p>
    <w:p w14:paraId="38DCF68F" w14:textId="54721B03" w:rsidR="0049401F" w:rsidRDefault="0049401F" w:rsidP="00CB44AC">
      <w:pPr>
        <w:numPr>
          <w:ilvl w:val="0"/>
          <w:numId w:val="1"/>
        </w:numPr>
        <w:shd w:val="clear" w:color="auto" w:fill="FFFFFF"/>
        <w:spacing w:after="75"/>
        <w:rPr>
          <w:rFonts w:ascii="Arial" w:hAnsi="Arial" w:cs="Arial"/>
        </w:rPr>
      </w:pPr>
      <w:r w:rsidRPr="00BF15E8">
        <w:rPr>
          <w:rFonts w:ascii="Arial" w:hAnsi="Arial" w:cs="Arial"/>
        </w:rPr>
        <w:t>Recognise EU Standard Contractual Clauses (SCCs) in UK law and give the ICO the power to issue new clauses</w:t>
      </w:r>
      <w:r w:rsidR="003336C3">
        <w:rPr>
          <w:rStyle w:val="FootnoteReference"/>
          <w:rFonts w:ascii="Arial" w:hAnsi="Arial" w:cs="Arial"/>
        </w:rPr>
        <w:footnoteReference w:id="10"/>
      </w:r>
    </w:p>
    <w:p w14:paraId="19FF2F37" w14:textId="77777777" w:rsidR="00BF15E8" w:rsidRDefault="00BF15E8" w:rsidP="00BF15E8">
      <w:pPr>
        <w:pStyle w:val="ListParagraph"/>
        <w:rPr>
          <w:rFonts w:ascii="Arial" w:hAnsi="Arial" w:cs="Arial"/>
        </w:rPr>
      </w:pPr>
    </w:p>
    <w:p w14:paraId="6DC30FD8" w14:textId="0BF6FA27" w:rsidR="00BF15E8" w:rsidRDefault="00BF15E8" w:rsidP="00BF15E8">
      <w:pPr>
        <w:numPr>
          <w:ilvl w:val="0"/>
          <w:numId w:val="1"/>
        </w:numPr>
        <w:shd w:val="clear" w:color="auto" w:fill="FFFFFF"/>
        <w:spacing w:after="75"/>
        <w:rPr>
          <w:rFonts w:ascii="Arial" w:hAnsi="Arial" w:cs="Arial"/>
        </w:rPr>
      </w:pPr>
      <w:r w:rsidRPr="004D420E">
        <w:rPr>
          <w:rFonts w:ascii="Arial" w:hAnsi="Arial" w:cs="Arial"/>
        </w:rPr>
        <w:t xml:space="preserve">Recognise Binding Corporate Rules (BCRs) authorised before Exit </w:t>
      </w:r>
      <w:r w:rsidR="003979A9">
        <w:rPr>
          <w:rFonts w:ascii="Arial" w:hAnsi="Arial" w:cs="Arial"/>
        </w:rPr>
        <w:t>D</w:t>
      </w:r>
      <w:r w:rsidRPr="004D420E">
        <w:rPr>
          <w:rFonts w:ascii="Arial" w:hAnsi="Arial" w:cs="Arial"/>
        </w:rPr>
        <w:t>ay</w:t>
      </w:r>
      <w:r>
        <w:rPr>
          <w:rFonts w:ascii="Arial" w:hAnsi="Arial" w:cs="Arial"/>
        </w:rPr>
        <w:t>;</w:t>
      </w:r>
      <w:r w:rsidR="003979A9">
        <w:rPr>
          <w:rFonts w:ascii="Arial" w:hAnsi="Arial" w:cs="Arial"/>
        </w:rPr>
        <w:t xml:space="preserve"> </w:t>
      </w:r>
      <w:r w:rsidRPr="004D420E">
        <w:rPr>
          <w:rFonts w:ascii="Arial" w:hAnsi="Arial" w:cs="Arial"/>
          <w:lang w:eastAsia="en-GB"/>
        </w:rPr>
        <w:t xml:space="preserve">and </w:t>
      </w:r>
      <w:r>
        <w:rPr>
          <w:rFonts w:ascii="Arial" w:hAnsi="Arial" w:cs="Arial"/>
          <w:lang w:eastAsia="en-GB"/>
        </w:rPr>
        <w:t xml:space="preserve">provide for </w:t>
      </w:r>
      <w:r w:rsidRPr="004D420E">
        <w:rPr>
          <w:rFonts w:ascii="Arial" w:hAnsi="Arial" w:cs="Arial"/>
          <w:lang w:eastAsia="en-GB"/>
        </w:rPr>
        <w:t>the Information Commissioner to continue to approve Binding Corporate Rules</w:t>
      </w:r>
      <w:r>
        <w:rPr>
          <w:rFonts w:ascii="Arial" w:hAnsi="Arial" w:cs="Arial"/>
          <w:lang w:eastAsia="en-GB"/>
        </w:rPr>
        <w:t xml:space="preserve"> (for the relatively small number of companies these rules apply to);</w:t>
      </w:r>
    </w:p>
    <w:p w14:paraId="09BF781E" w14:textId="77777777" w:rsidR="002E6DA6" w:rsidRDefault="002E6DA6" w:rsidP="002E6DA6">
      <w:pPr>
        <w:pStyle w:val="ListParagraph"/>
        <w:rPr>
          <w:rFonts w:ascii="Arial" w:hAnsi="Arial" w:cs="Arial"/>
        </w:rPr>
      </w:pPr>
    </w:p>
    <w:p w14:paraId="1DA44934" w14:textId="598C2687" w:rsidR="002C0A93" w:rsidRPr="004D420E" w:rsidRDefault="004D420E" w:rsidP="007A585D">
      <w:pPr>
        <w:widowControl w:val="0"/>
        <w:numPr>
          <w:ilvl w:val="0"/>
          <w:numId w:val="8"/>
        </w:numPr>
        <w:shd w:val="clear" w:color="auto" w:fill="FFFFFF"/>
        <w:autoSpaceDE w:val="0"/>
        <w:autoSpaceDN w:val="0"/>
        <w:adjustRightInd w:val="0"/>
        <w:spacing w:after="120"/>
        <w:ind w:left="1080" w:hanging="360"/>
        <w:jc w:val="both"/>
        <w:rPr>
          <w:rFonts w:ascii="Arial" w:hAnsi="Arial" w:cs="Arial"/>
          <w:lang w:eastAsia="en-GB"/>
        </w:rPr>
      </w:pPr>
      <w:r w:rsidRPr="004D420E">
        <w:rPr>
          <w:rFonts w:ascii="Arial" w:hAnsi="Arial" w:cs="Arial"/>
        </w:rPr>
        <w:t>A</w:t>
      </w:r>
      <w:r w:rsidR="002C0A93" w:rsidRPr="004D420E">
        <w:rPr>
          <w:rFonts w:ascii="Arial" w:hAnsi="Arial" w:cs="Arial"/>
          <w:lang w:eastAsia="en-GB"/>
        </w:rPr>
        <w:t>mend the Privacy and Electronic Communications (EC Directive) Regulations 2003 (</w:t>
      </w:r>
      <w:r w:rsidR="002C0A93" w:rsidRPr="004D420E">
        <w:rPr>
          <w:rFonts w:ascii="Arial" w:hAnsi="Arial" w:cs="Arial"/>
          <w:i/>
          <w:iCs/>
          <w:lang w:eastAsia="en-GB"/>
        </w:rPr>
        <w:t>SI 2003/2426</w:t>
      </w:r>
      <w:r w:rsidR="002C0A93" w:rsidRPr="004D420E">
        <w:rPr>
          <w:rFonts w:ascii="Arial" w:hAnsi="Arial" w:cs="Arial"/>
          <w:lang w:eastAsia="en-GB"/>
        </w:rPr>
        <w:t>) (PECR) to add the EU GDPR definition of consent.</w:t>
      </w:r>
    </w:p>
    <w:p w14:paraId="24C45A53" w14:textId="77777777" w:rsidR="003979A9" w:rsidRDefault="003979A9" w:rsidP="00F8502C">
      <w:pPr>
        <w:widowControl w:val="0"/>
        <w:autoSpaceDE w:val="0"/>
        <w:autoSpaceDN w:val="0"/>
        <w:adjustRightInd w:val="0"/>
        <w:spacing w:before="200"/>
        <w:jc w:val="both"/>
        <w:rPr>
          <w:rFonts w:ascii="Arial" w:hAnsi="Arial" w:cs="Arial"/>
        </w:rPr>
      </w:pPr>
    </w:p>
    <w:p w14:paraId="42D7AED2" w14:textId="72A87806" w:rsidR="00F62745" w:rsidRDefault="00CF565D" w:rsidP="00F8502C">
      <w:pPr>
        <w:widowControl w:val="0"/>
        <w:autoSpaceDE w:val="0"/>
        <w:autoSpaceDN w:val="0"/>
        <w:adjustRightInd w:val="0"/>
        <w:spacing w:before="200"/>
        <w:jc w:val="both"/>
        <w:rPr>
          <w:rFonts w:ascii="Arial" w:hAnsi="Arial" w:cs="Arial"/>
        </w:rPr>
      </w:pPr>
      <w:r>
        <w:rPr>
          <w:rFonts w:ascii="Arial" w:hAnsi="Arial" w:cs="Arial"/>
        </w:rPr>
        <w:t>7.3</w:t>
      </w:r>
      <w:r>
        <w:rPr>
          <w:rFonts w:ascii="Arial" w:hAnsi="Arial" w:cs="Arial"/>
        </w:rPr>
        <w:tab/>
      </w:r>
      <w:r w:rsidR="008E410E">
        <w:rPr>
          <w:rFonts w:ascii="Arial" w:hAnsi="Arial" w:cs="Arial"/>
        </w:rPr>
        <w:t>The</w:t>
      </w:r>
      <w:r w:rsidR="00A10723">
        <w:rPr>
          <w:rFonts w:ascii="Arial" w:hAnsi="Arial" w:cs="Arial"/>
        </w:rPr>
        <w:t>se</w:t>
      </w:r>
      <w:r w:rsidR="008E410E">
        <w:rPr>
          <w:rFonts w:ascii="Arial" w:hAnsi="Arial" w:cs="Arial"/>
        </w:rPr>
        <w:t xml:space="preserve"> regulations are </w:t>
      </w:r>
      <w:r w:rsidR="00991A04">
        <w:rPr>
          <w:rFonts w:ascii="Arial" w:hAnsi="Arial" w:cs="Arial"/>
        </w:rPr>
        <w:t xml:space="preserve">being made </w:t>
      </w:r>
      <w:r w:rsidR="004A1957" w:rsidRPr="00A5489B">
        <w:rPr>
          <w:rFonts w:ascii="Arial" w:hAnsi="Arial" w:cs="Arial"/>
        </w:rPr>
        <w:t>under</w:t>
      </w:r>
      <w:r w:rsidR="00F62745">
        <w:rPr>
          <w:rFonts w:ascii="Arial" w:hAnsi="Arial" w:cs="Arial"/>
        </w:rPr>
        <w:t>:</w:t>
      </w:r>
      <w:r w:rsidR="004A1957" w:rsidRPr="00A5489B">
        <w:rPr>
          <w:rFonts w:ascii="Arial" w:hAnsi="Arial" w:cs="Arial"/>
        </w:rPr>
        <w:t xml:space="preserve"> </w:t>
      </w:r>
    </w:p>
    <w:p w14:paraId="078E2392" w14:textId="0FCAB828" w:rsidR="00F8502C" w:rsidRPr="00F62745" w:rsidRDefault="008E410E" w:rsidP="007A585D">
      <w:pPr>
        <w:pStyle w:val="ListParagraph"/>
        <w:widowControl w:val="0"/>
        <w:numPr>
          <w:ilvl w:val="0"/>
          <w:numId w:val="14"/>
        </w:numPr>
        <w:autoSpaceDE w:val="0"/>
        <w:autoSpaceDN w:val="0"/>
        <w:adjustRightInd w:val="0"/>
        <w:spacing w:before="200"/>
        <w:jc w:val="both"/>
        <w:rPr>
          <w:rFonts w:ascii="Arial" w:hAnsi="Arial" w:cs="Arial"/>
          <w:shd w:val="clear" w:color="auto" w:fill="FFFFFF"/>
        </w:rPr>
      </w:pPr>
      <w:r w:rsidRPr="00F62745">
        <w:rPr>
          <w:rFonts w:ascii="Arial" w:hAnsi="Arial" w:cs="Arial"/>
        </w:rPr>
        <w:t xml:space="preserve">powers in </w:t>
      </w:r>
      <w:r w:rsidR="004A1957" w:rsidRPr="00F62745">
        <w:rPr>
          <w:rFonts w:ascii="Arial" w:hAnsi="Arial" w:cs="Arial"/>
        </w:rPr>
        <w:t>the European Union (Withdrawal) Act 2018 (EUWA).</w:t>
      </w:r>
      <w:r w:rsidR="00F72099">
        <w:rPr>
          <w:rFonts w:ascii="Arial" w:hAnsi="Arial" w:cs="Arial"/>
        </w:rPr>
        <w:t xml:space="preserve"> (S</w:t>
      </w:r>
      <w:r w:rsidR="004A1957" w:rsidRPr="00F62745">
        <w:rPr>
          <w:rFonts w:ascii="Arial" w:hAnsi="Arial" w:cs="Arial"/>
        </w:rPr>
        <w:t xml:space="preserve">ection 8 </w:t>
      </w:r>
      <w:r w:rsidR="003979A9">
        <w:rPr>
          <w:rFonts w:ascii="Arial" w:hAnsi="Arial" w:cs="Arial"/>
        </w:rPr>
        <w:t xml:space="preserve">of EUWA </w:t>
      </w:r>
      <w:r w:rsidR="004A1957" w:rsidRPr="00F62745">
        <w:rPr>
          <w:rFonts w:ascii="Arial" w:hAnsi="Arial" w:cs="Arial"/>
          <w:shd w:val="clear" w:color="auto" w:fill="FFFFFF"/>
        </w:rPr>
        <w:t xml:space="preserve">enables a minister to make regulations to </w:t>
      </w:r>
      <w:r w:rsidR="00F8502C" w:rsidRPr="00F62745">
        <w:rPr>
          <w:rFonts w:ascii="Arial" w:hAnsi="Arial" w:cs="Arial"/>
          <w:shd w:val="clear" w:color="auto" w:fill="FFFFFF"/>
        </w:rPr>
        <w:t xml:space="preserve">correct </w:t>
      </w:r>
      <w:r w:rsidR="004A1957" w:rsidRPr="00F62745">
        <w:rPr>
          <w:rFonts w:ascii="Arial" w:hAnsi="Arial" w:cs="Arial"/>
          <w:shd w:val="clear" w:color="auto" w:fill="FFFFFF"/>
        </w:rPr>
        <w:t>deficiencies in retained EU law arising from withdrawal, such as a failure to operate effectively</w:t>
      </w:r>
      <w:r w:rsidR="00F72099">
        <w:rPr>
          <w:rFonts w:ascii="Arial" w:hAnsi="Arial" w:cs="Arial"/>
          <w:shd w:val="clear" w:color="auto" w:fill="FFFFFF"/>
        </w:rPr>
        <w:t>)</w:t>
      </w:r>
      <w:r w:rsidR="005C40B8">
        <w:rPr>
          <w:rFonts w:ascii="Arial" w:hAnsi="Arial" w:cs="Arial"/>
          <w:shd w:val="clear" w:color="auto" w:fill="FFFFFF"/>
        </w:rPr>
        <w:t>;</w:t>
      </w:r>
    </w:p>
    <w:p w14:paraId="664FE4A2" w14:textId="6D5E4C48" w:rsidR="00260744" w:rsidRPr="00260744" w:rsidRDefault="00F62745" w:rsidP="007A585D">
      <w:pPr>
        <w:pStyle w:val="ListParagraph"/>
        <w:widowControl w:val="0"/>
        <w:numPr>
          <w:ilvl w:val="0"/>
          <w:numId w:val="13"/>
        </w:numPr>
        <w:autoSpaceDE w:val="0"/>
        <w:autoSpaceDN w:val="0"/>
        <w:adjustRightInd w:val="0"/>
        <w:spacing w:before="200"/>
        <w:jc w:val="both"/>
        <w:rPr>
          <w:rFonts w:ascii="Arial" w:hAnsi="Arial" w:cs="Arial"/>
          <w:shd w:val="clear" w:color="auto" w:fill="FFFFFF"/>
        </w:rPr>
      </w:pPr>
      <w:r>
        <w:rPr>
          <w:rFonts w:ascii="Arial" w:hAnsi="Arial" w:cs="Arial"/>
          <w:shd w:val="clear" w:color="auto" w:fill="FFFFFF"/>
        </w:rPr>
        <w:t>s</w:t>
      </w:r>
      <w:r w:rsidR="004A1957" w:rsidRPr="00260744">
        <w:rPr>
          <w:rFonts w:ascii="Arial" w:hAnsi="Arial" w:cs="Arial"/>
          <w:shd w:val="clear" w:color="auto" w:fill="FFFFFF"/>
        </w:rPr>
        <w:t>ection 211(2) of the Data Protection Act 2018 (DPA 2018) (in relation to consequential amendments to other legislation)</w:t>
      </w:r>
      <w:r w:rsidR="00260744" w:rsidRPr="00260744">
        <w:rPr>
          <w:rFonts w:ascii="Arial" w:hAnsi="Arial" w:cs="Arial"/>
          <w:shd w:val="clear" w:color="auto" w:fill="FFFFFF"/>
        </w:rPr>
        <w:t>,</w:t>
      </w:r>
      <w:r w:rsidR="004A1957" w:rsidRPr="00260744">
        <w:rPr>
          <w:rFonts w:ascii="Arial" w:hAnsi="Arial" w:cs="Arial"/>
          <w:shd w:val="clear" w:color="auto" w:fill="FFFFFF"/>
        </w:rPr>
        <w:t xml:space="preserve"> and </w:t>
      </w:r>
    </w:p>
    <w:p w14:paraId="5F74511B" w14:textId="27182043" w:rsidR="00A63058" w:rsidRPr="00260744" w:rsidRDefault="00F62745" w:rsidP="007A585D">
      <w:pPr>
        <w:pStyle w:val="ListParagraph"/>
        <w:widowControl w:val="0"/>
        <w:numPr>
          <w:ilvl w:val="0"/>
          <w:numId w:val="13"/>
        </w:numPr>
        <w:autoSpaceDE w:val="0"/>
        <w:autoSpaceDN w:val="0"/>
        <w:adjustRightInd w:val="0"/>
        <w:spacing w:before="200"/>
        <w:jc w:val="both"/>
        <w:rPr>
          <w:rFonts w:ascii="Arial" w:hAnsi="Arial" w:cs="Arial"/>
          <w:shd w:val="clear" w:color="auto" w:fill="FFFFFF"/>
        </w:rPr>
      </w:pPr>
      <w:r>
        <w:rPr>
          <w:rFonts w:ascii="Arial" w:hAnsi="Arial" w:cs="Arial"/>
          <w:shd w:val="clear" w:color="auto" w:fill="FFFFFF"/>
        </w:rPr>
        <w:t>s</w:t>
      </w:r>
      <w:r w:rsidR="004A1957" w:rsidRPr="00260744">
        <w:rPr>
          <w:rFonts w:ascii="Arial" w:hAnsi="Arial" w:cs="Arial"/>
          <w:shd w:val="clear" w:color="auto" w:fill="FFFFFF"/>
        </w:rPr>
        <w:t>ection 2(2)</w:t>
      </w:r>
      <w:r w:rsidR="00114F6E" w:rsidRPr="00260744">
        <w:rPr>
          <w:rFonts w:ascii="Arial" w:hAnsi="Arial" w:cs="Arial"/>
          <w:shd w:val="clear" w:color="auto" w:fill="FFFFFF"/>
        </w:rPr>
        <w:t xml:space="preserve"> </w:t>
      </w:r>
      <w:r w:rsidR="004A1957" w:rsidRPr="00260744">
        <w:rPr>
          <w:rFonts w:ascii="Arial" w:hAnsi="Arial" w:cs="Arial"/>
          <w:shd w:val="clear" w:color="auto" w:fill="FFFFFF"/>
        </w:rPr>
        <w:t xml:space="preserve">of the European Communities Act 1972 </w:t>
      </w:r>
      <w:r w:rsidR="00F8502C" w:rsidRPr="00260744">
        <w:rPr>
          <w:rFonts w:ascii="Arial" w:hAnsi="Arial" w:cs="Arial"/>
        </w:rPr>
        <w:t xml:space="preserve">to amend the Privacy and Electronic Communications (EC Directive) Regulations 2003 (PECR). </w:t>
      </w:r>
    </w:p>
    <w:p w14:paraId="3204AB1B" w14:textId="77777777" w:rsidR="004A1957" w:rsidRDefault="004A1957" w:rsidP="004A1957">
      <w:pPr>
        <w:widowControl w:val="0"/>
        <w:autoSpaceDE w:val="0"/>
        <w:autoSpaceDN w:val="0"/>
        <w:adjustRightInd w:val="0"/>
        <w:jc w:val="both"/>
        <w:rPr>
          <w:rFonts w:ascii="Arial" w:hAnsi="Arial" w:cs="Arial"/>
        </w:rPr>
      </w:pPr>
    </w:p>
    <w:p w14:paraId="65F72DDE" w14:textId="0E82C932" w:rsidR="00EF6CCD" w:rsidRDefault="00CF565D" w:rsidP="00CF565D">
      <w:pPr>
        <w:widowControl w:val="0"/>
        <w:autoSpaceDE w:val="0"/>
        <w:autoSpaceDN w:val="0"/>
        <w:adjustRightInd w:val="0"/>
        <w:ind w:left="720" w:hanging="720"/>
        <w:jc w:val="both"/>
        <w:rPr>
          <w:rFonts w:ascii="Arial" w:hAnsi="Arial" w:cs="Arial"/>
          <w:color w:val="000000"/>
          <w:lang w:eastAsia="en-GB"/>
        </w:rPr>
      </w:pPr>
      <w:r>
        <w:rPr>
          <w:rFonts w:ascii="Arial" w:hAnsi="Arial" w:cs="Arial"/>
          <w:color w:val="000000"/>
          <w:lang w:eastAsia="en-GB"/>
        </w:rPr>
        <w:t>7.4</w:t>
      </w:r>
      <w:r>
        <w:rPr>
          <w:rFonts w:ascii="Arial" w:hAnsi="Arial" w:cs="Arial"/>
          <w:color w:val="000000"/>
          <w:lang w:eastAsia="en-GB"/>
        </w:rPr>
        <w:tab/>
      </w:r>
      <w:r w:rsidR="00EF6CCD">
        <w:rPr>
          <w:rFonts w:ascii="Arial" w:hAnsi="Arial" w:cs="Arial"/>
          <w:color w:val="000000"/>
          <w:lang w:eastAsia="en-GB"/>
        </w:rPr>
        <w:t>Th</w:t>
      </w:r>
      <w:r w:rsidR="00A10723">
        <w:rPr>
          <w:rFonts w:ascii="Arial" w:hAnsi="Arial" w:cs="Arial"/>
          <w:color w:val="000000"/>
          <w:lang w:eastAsia="en-GB"/>
        </w:rPr>
        <w:t xml:space="preserve">is amending legislation </w:t>
      </w:r>
      <w:r w:rsidR="00EF6CCD">
        <w:rPr>
          <w:rFonts w:ascii="Arial" w:hAnsi="Arial" w:cs="Arial"/>
          <w:color w:val="000000"/>
          <w:lang w:eastAsia="en-GB"/>
        </w:rPr>
        <w:t xml:space="preserve">and many other </w:t>
      </w:r>
      <w:r w:rsidR="003B4085">
        <w:rPr>
          <w:rFonts w:ascii="Arial" w:hAnsi="Arial" w:cs="Arial"/>
          <w:color w:val="000000"/>
          <w:lang w:eastAsia="en-GB"/>
        </w:rPr>
        <w:t xml:space="preserve">similar </w:t>
      </w:r>
      <w:r w:rsidR="00EF6CCD">
        <w:rPr>
          <w:rFonts w:ascii="Arial" w:hAnsi="Arial" w:cs="Arial"/>
          <w:color w:val="000000"/>
          <w:lang w:eastAsia="en-GB"/>
        </w:rPr>
        <w:t xml:space="preserve">statutory instruments are intended to come into effect in the event of a ‘no-deal’ scenario on </w:t>
      </w:r>
      <w:r w:rsidR="00043150">
        <w:rPr>
          <w:rFonts w:ascii="Arial" w:hAnsi="Arial" w:cs="Arial"/>
          <w:color w:val="000000"/>
          <w:lang w:eastAsia="en-GB"/>
        </w:rPr>
        <w:t>E</w:t>
      </w:r>
      <w:r w:rsidR="00EF6CCD">
        <w:rPr>
          <w:rFonts w:ascii="Arial" w:hAnsi="Arial" w:cs="Arial"/>
          <w:color w:val="000000"/>
          <w:lang w:eastAsia="en-GB"/>
        </w:rPr>
        <w:t xml:space="preserve">xit </w:t>
      </w:r>
      <w:r w:rsidR="005C40B8">
        <w:rPr>
          <w:rFonts w:ascii="Arial" w:hAnsi="Arial" w:cs="Arial"/>
          <w:color w:val="000000"/>
          <w:lang w:eastAsia="en-GB"/>
        </w:rPr>
        <w:t>D</w:t>
      </w:r>
      <w:r w:rsidR="00EF6CCD">
        <w:rPr>
          <w:rFonts w:ascii="Arial" w:hAnsi="Arial" w:cs="Arial"/>
          <w:color w:val="000000"/>
          <w:lang w:eastAsia="en-GB"/>
        </w:rPr>
        <w:t>ay (29</w:t>
      </w:r>
      <w:r w:rsidR="00EF6CCD" w:rsidRPr="00EF6CCD">
        <w:rPr>
          <w:rFonts w:ascii="Arial" w:hAnsi="Arial" w:cs="Arial"/>
          <w:color w:val="000000"/>
          <w:vertAlign w:val="superscript"/>
          <w:lang w:eastAsia="en-GB"/>
        </w:rPr>
        <w:t>th</w:t>
      </w:r>
      <w:r w:rsidR="00EF6CCD">
        <w:rPr>
          <w:rFonts w:ascii="Arial" w:hAnsi="Arial" w:cs="Arial"/>
          <w:color w:val="000000"/>
          <w:lang w:eastAsia="en-GB"/>
        </w:rPr>
        <w:t xml:space="preserve"> March 2019)</w:t>
      </w:r>
      <w:r w:rsidR="001D7334">
        <w:rPr>
          <w:rFonts w:ascii="Arial" w:hAnsi="Arial" w:cs="Arial"/>
          <w:color w:val="000000"/>
          <w:lang w:eastAsia="en-GB"/>
        </w:rPr>
        <w:t>.</w:t>
      </w:r>
      <w:r w:rsidR="00043150">
        <w:rPr>
          <w:rFonts w:ascii="Arial" w:hAnsi="Arial" w:cs="Arial"/>
          <w:color w:val="000000"/>
          <w:lang w:eastAsia="en-GB"/>
        </w:rPr>
        <w:t xml:space="preserve"> </w:t>
      </w:r>
    </w:p>
    <w:p w14:paraId="73B94FE5" w14:textId="77777777" w:rsidR="00EF6CCD" w:rsidRDefault="00EF6CCD" w:rsidP="00EF6CCD">
      <w:pPr>
        <w:widowControl w:val="0"/>
        <w:autoSpaceDE w:val="0"/>
        <w:autoSpaceDN w:val="0"/>
        <w:adjustRightInd w:val="0"/>
        <w:jc w:val="both"/>
        <w:rPr>
          <w:rFonts w:ascii="Arial" w:hAnsi="Arial" w:cs="Arial"/>
          <w:color w:val="000000"/>
          <w:lang w:eastAsia="en-GB"/>
        </w:rPr>
      </w:pPr>
    </w:p>
    <w:p w14:paraId="26654806" w14:textId="7DD454DE" w:rsidR="00260744" w:rsidRDefault="00CF565D" w:rsidP="00CF565D">
      <w:pPr>
        <w:widowControl w:val="0"/>
        <w:autoSpaceDE w:val="0"/>
        <w:autoSpaceDN w:val="0"/>
        <w:adjustRightInd w:val="0"/>
        <w:ind w:left="720" w:hanging="720"/>
        <w:jc w:val="both"/>
        <w:rPr>
          <w:rFonts w:ascii="Arial" w:hAnsi="Arial" w:cs="Arial"/>
          <w:color w:val="000000"/>
          <w:lang w:eastAsia="en-GB"/>
        </w:rPr>
      </w:pPr>
      <w:r>
        <w:rPr>
          <w:rFonts w:ascii="Arial" w:hAnsi="Arial" w:cs="Arial"/>
          <w:color w:val="000000"/>
          <w:lang w:eastAsia="en-GB"/>
        </w:rPr>
        <w:t>7.5</w:t>
      </w:r>
      <w:r>
        <w:rPr>
          <w:rFonts w:ascii="Arial" w:hAnsi="Arial" w:cs="Arial"/>
          <w:color w:val="000000"/>
          <w:lang w:eastAsia="en-GB"/>
        </w:rPr>
        <w:tab/>
      </w:r>
      <w:r w:rsidR="001D7334">
        <w:rPr>
          <w:rFonts w:ascii="Arial" w:hAnsi="Arial" w:cs="Arial"/>
          <w:color w:val="000000"/>
          <w:lang w:eastAsia="en-GB"/>
        </w:rPr>
        <w:t xml:space="preserve">But </w:t>
      </w:r>
      <w:r w:rsidR="00EF6CCD" w:rsidRPr="00EF6CCD">
        <w:rPr>
          <w:rFonts w:ascii="Arial" w:hAnsi="Arial" w:cs="Arial"/>
          <w:color w:val="000000"/>
          <w:lang w:eastAsia="en-GB"/>
        </w:rPr>
        <w:t>if there is a deal</w:t>
      </w:r>
      <w:r w:rsidR="00F72099">
        <w:rPr>
          <w:rFonts w:ascii="Arial" w:hAnsi="Arial" w:cs="Arial"/>
          <w:color w:val="000000"/>
          <w:lang w:eastAsia="en-GB"/>
        </w:rPr>
        <w:t>,</w:t>
      </w:r>
      <w:r w:rsidR="00EF6CCD">
        <w:rPr>
          <w:rFonts w:ascii="Arial" w:hAnsi="Arial" w:cs="Arial"/>
          <w:color w:val="000000"/>
          <w:lang w:eastAsia="en-GB"/>
        </w:rPr>
        <w:t xml:space="preserve"> most EU law will continue to apply in the UK during the transition period</w:t>
      </w:r>
      <w:r w:rsidR="00CD7AAD">
        <w:rPr>
          <w:rFonts w:ascii="Arial" w:hAnsi="Arial" w:cs="Arial"/>
          <w:color w:val="000000"/>
          <w:lang w:eastAsia="en-GB"/>
        </w:rPr>
        <w:t>.</w:t>
      </w:r>
    </w:p>
    <w:p w14:paraId="1D36F99F" w14:textId="77777777" w:rsidR="00260744" w:rsidRDefault="00260744" w:rsidP="00EF6CCD">
      <w:pPr>
        <w:widowControl w:val="0"/>
        <w:autoSpaceDE w:val="0"/>
        <w:autoSpaceDN w:val="0"/>
        <w:adjustRightInd w:val="0"/>
        <w:jc w:val="both"/>
        <w:rPr>
          <w:rFonts w:ascii="Arial" w:hAnsi="Arial" w:cs="Arial"/>
          <w:color w:val="000000"/>
          <w:lang w:eastAsia="en-GB"/>
        </w:rPr>
      </w:pPr>
    </w:p>
    <w:p w14:paraId="49042433" w14:textId="55C8CB79" w:rsidR="00EF6CCD" w:rsidRPr="00EF6CCD" w:rsidRDefault="00CF565D" w:rsidP="00CF565D">
      <w:pPr>
        <w:widowControl w:val="0"/>
        <w:autoSpaceDE w:val="0"/>
        <w:autoSpaceDN w:val="0"/>
        <w:adjustRightInd w:val="0"/>
        <w:ind w:left="720" w:hanging="720"/>
        <w:jc w:val="both"/>
        <w:rPr>
          <w:rFonts w:ascii="Arial" w:hAnsi="Arial" w:cs="Arial"/>
          <w:color w:val="000000"/>
          <w:lang w:eastAsia="en-GB"/>
        </w:rPr>
      </w:pPr>
      <w:r>
        <w:rPr>
          <w:rFonts w:ascii="Arial" w:hAnsi="Arial" w:cs="Arial"/>
          <w:color w:val="000000"/>
          <w:lang w:eastAsia="en-GB"/>
        </w:rPr>
        <w:t>7.6</w:t>
      </w:r>
      <w:r>
        <w:rPr>
          <w:rFonts w:ascii="Arial" w:hAnsi="Arial" w:cs="Arial"/>
          <w:color w:val="000000"/>
          <w:lang w:eastAsia="en-GB"/>
        </w:rPr>
        <w:tab/>
      </w:r>
      <w:r w:rsidR="00CD7AAD">
        <w:rPr>
          <w:rFonts w:ascii="Arial" w:hAnsi="Arial" w:cs="Arial"/>
          <w:color w:val="000000"/>
          <w:lang w:eastAsia="en-GB"/>
        </w:rPr>
        <w:t xml:space="preserve">In that case </w:t>
      </w:r>
      <w:r w:rsidR="00EF6CCD">
        <w:rPr>
          <w:rFonts w:ascii="Arial" w:hAnsi="Arial" w:cs="Arial"/>
          <w:color w:val="000000"/>
          <w:lang w:eastAsia="en-GB"/>
        </w:rPr>
        <w:t>legislative measures w</w:t>
      </w:r>
      <w:r w:rsidR="00CD7AAD">
        <w:rPr>
          <w:rFonts w:ascii="Arial" w:hAnsi="Arial" w:cs="Arial"/>
          <w:color w:val="000000"/>
          <w:lang w:eastAsia="en-GB"/>
        </w:rPr>
        <w:t xml:space="preserve">ould be needed </w:t>
      </w:r>
      <w:r w:rsidR="00EF6CCD">
        <w:rPr>
          <w:rFonts w:ascii="Arial" w:hAnsi="Arial" w:cs="Arial"/>
          <w:color w:val="000000"/>
          <w:lang w:eastAsia="en-GB"/>
        </w:rPr>
        <w:t xml:space="preserve">to cancel or delay implementation </w:t>
      </w:r>
      <w:r w:rsidR="00114F6E">
        <w:rPr>
          <w:rFonts w:ascii="Arial" w:hAnsi="Arial" w:cs="Arial"/>
          <w:color w:val="000000"/>
          <w:lang w:eastAsia="en-GB"/>
        </w:rPr>
        <w:t xml:space="preserve">of this and other instruments </w:t>
      </w:r>
      <w:r w:rsidR="00260744">
        <w:rPr>
          <w:rFonts w:ascii="Arial" w:hAnsi="Arial" w:cs="Arial"/>
          <w:color w:val="000000"/>
          <w:lang w:eastAsia="en-GB"/>
        </w:rPr>
        <w:t xml:space="preserve">(if already passed) </w:t>
      </w:r>
      <w:r w:rsidR="00EF6CCD">
        <w:rPr>
          <w:rFonts w:ascii="Arial" w:hAnsi="Arial" w:cs="Arial"/>
          <w:color w:val="000000"/>
          <w:lang w:eastAsia="en-GB"/>
        </w:rPr>
        <w:t xml:space="preserve">until after the end of the transition period. </w:t>
      </w:r>
    </w:p>
    <w:p w14:paraId="6B046778" w14:textId="77777777" w:rsidR="00EF6CCD" w:rsidRDefault="00EF6CCD" w:rsidP="00EF6CCD">
      <w:pPr>
        <w:widowControl w:val="0"/>
        <w:autoSpaceDE w:val="0"/>
        <w:autoSpaceDN w:val="0"/>
        <w:adjustRightInd w:val="0"/>
        <w:jc w:val="both"/>
        <w:rPr>
          <w:rFonts w:ascii="Arial" w:hAnsi="Arial" w:cs="Arial"/>
          <w:color w:val="000000"/>
          <w:lang w:eastAsia="en-GB"/>
        </w:rPr>
      </w:pPr>
      <w:r w:rsidRPr="00EF6CCD">
        <w:rPr>
          <w:rFonts w:ascii="Arial" w:hAnsi="Arial" w:cs="Arial"/>
          <w:color w:val="000000"/>
          <w:lang w:eastAsia="en-GB"/>
        </w:rPr>
        <w:t> </w:t>
      </w:r>
    </w:p>
    <w:p w14:paraId="46DA0D84" w14:textId="1332C07E" w:rsidR="00EF6CCD" w:rsidRPr="00EF6CCD" w:rsidRDefault="00CF565D" w:rsidP="00CF565D">
      <w:pPr>
        <w:widowControl w:val="0"/>
        <w:autoSpaceDE w:val="0"/>
        <w:autoSpaceDN w:val="0"/>
        <w:adjustRightInd w:val="0"/>
        <w:ind w:left="720" w:hanging="720"/>
        <w:jc w:val="both"/>
        <w:rPr>
          <w:rFonts w:ascii="Arial" w:hAnsi="Arial" w:cs="Arial"/>
          <w:color w:val="000000"/>
          <w:lang w:eastAsia="en-GB"/>
        </w:rPr>
      </w:pPr>
      <w:r>
        <w:rPr>
          <w:rFonts w:ascii="Arial" w:hAnsi="Arial" w:cs="Arial"/>
          <w:color w:val="000000"/>
          <w:lang w:eastAsia="en-GB"/>
        </w:rPr>
        <w:t>7.7</w:t>
      </w:r>
      <w:r>
        <w:rPr>
          <w:rFonts w:ascii="Arial" w:hAnsi="Arial" w:cs="Arial"/>
          <w:color w:val="000000"/>
          <w:lang w:eastAsia="en-GB"/>
        </w:rPr>
        <w:tab/>
      </w:r>
      <w:r w:rsidR="00CD7AAD">
        <w:rPr>
          <w:rFonts w:ascii="Arial" w:hAnsi="Arial" w:cs="Arial"/>
          <w:color w:val="000000"/>
          <w:lang w:eastAsia="en-GB"/>
        </w:rPr>
        <w:t xml:space="preserve">In either case (deal or no deal), the </w:t>
      </w:r>
      <w:r w:rsidR="00EF6CCD" w:rsidRPr="00EF6CCD">
        <w:rPr>
          <w:rFonts w:ascii="Arial" w:hAnsi="Arial" w:cs="Arial"/>
          <w:color w:val="000000"/>
          <w:lang w:eastAsia="en-GB"/>
        </w:rPr>
        <w:t xml:space="preserve">provisions amending </w:t>
      </w:r>
      <w:r w:rsidR="00820D0E">
        <w:rPr>
          <w:rFonts w:ascii="Arial" w:hAnsi="Arial" w:cs="Arial"/>
          <w:color w:val="000000"/>
          <w:lang w:eastAsia="en-GB"/>
        </w:rPr>
        <w:t xml:space="preserve">the </w:t>
      </w:r>
      <w:r w:rsidR="00EF6CCD" w:rsidRPr="00EF6CCD">
        <w:rPr>
          <w:rFonts w:ascii="Arial" w:hAnsi="Arial" w:cs="Arial"/>
          <w:color w:val="000000"/>
          <w:lang w:eastAsia="en-GB"/>
        </w:rPr>
        <w:t>PECR</w:t>
      </w:r>
      <w:r w:rsidR="00043150">
        <w:rPr>
          <w:rFonts w:ascii="Arial" w:hAnsi="Arial" w:cs="Arial"/>
          <w:color w:val="000000"/>
          <w:lang w:eastAsia="en-GB"/>
        </w:rPr>
        <w:t xml:space="preserve"> (</w:t>
      </w:r>
      <w:r w:rsidR="00043150" w:rsidRPr="002C0A93">
        <w:rPr>
          <w:rFonts w:ascii="Arial" w:hAnsi="Arial" w:cs="Arial"/>
          <w:lang w:eastAsia="en-GB"/>
        </w:rPr>
        <w:t>add</w:t>
      </w:r>
      <w:r w:rsidR="00114F6E">
        <w:rPr>
          <w:rFonts w:ascii="Arial" w:hAnsi="Arial" w:cs="Arial"/>
          <w:lang w:eastAsia="en-GB"/>
        </w:rPr>
        <w:t>ing</w:t>
      </w:r>
      <w:r w:rsidR="00F62745">
        <w:rPr>
          <w:rFonts w:ascii="Arial" w:hAnsi="Arial" w:cs="Arial"/>
          <w:lang w:eastAsia="en-GB"/>
        </w:rPr>
        <w:t xml:space="preserve"> the</w:t>
      </w:r>
      <w:r w:rsidR="00114F6E">
        <w:rPr>
          <w:rFonts w:ascii="Arial" w:hAnsi="Arial" w:cs="Arial"/>
          <w:lang w:eastAsia="en-GB"/>
        </w:rPr>
        <w:t xml:space="preserve"> </w:t>
      </w:r>
      <w:r w:rsidR="00043150" w:rsidRPr="002C0A93">
        <w:rPr>
          <w:rFonts w:ascii="Arial" w:hAnsi="Arial" w:cs="Arial"/>
          <w:lang w:eastAsia="en-GB"/>
        </w:rPr>
        <w:t>EU GDPR definition o</w:t>
      </w:r>
      <w:r w:rsidR="00F62745">
        <w:rPr>
          <w:rFonts w:ascii="Arial" w:hAnsi="Arial" w:cs="Arial"/>
          <w:lang w:eastAsia="en-GB"/>
        </w:rPr>
        <w:t>n</w:t>
      </w:r>
      <w:r w:rsidR="00043150" w:rsidRPr="002C0A93">
        <w:rPr>
          <w:rFonts w:ascii="Arial" w:hAnsi="Arial" w:cs="Arial"/>
          <w:lang w:eastAsia="en-GB"/>
        </w:rPr>
        <w:t xml:space="preserve"> consent</w:t>
      </w:r>
      <w:r w:rsidR="00043150">
        <w:rPr>
          <w:rFonts w:ascii="Arial" w:hAnsi="Arial" w:cs="Arial"/>
          <w:lang w:eastAsia="en-GB"/>
        </w:rPr>
        <w:t>)</w:t>
      </w:r>
      <w:r w:rsidR="00CD7AAD">
        <w:rPr>
          <w:rFonts w:ascii="Arial" w:hAnsi="Arial" w:cs="Arial"/>
          <w:lang w:eastAsia="en-GB"/>
        </w:rPr>
        <w:t xml:space="preserve"> </w:t>
      </w:r>
      <w:r w:rsidR="00114F6E">
        <w:rPr>
          <w:rFonts w:ascii="Arial" w:hAnsi="Arial" w:cs="Arial"/>
          <w:color w:val="000000"/>
          <w:lang w:eastAsia="en-GB"/>
        </w:rPr>
        <w:t xml:space="preserve">are intended to </w:t>
      </w:r>
      <w:r w:rsidR="00EF6CCD" w:rsidRPr="00EF6CCD">
        <w:rPr>
          <w:rFonts w:ascii="Arial" w:hAnsi="Arial" w:cs="Arial"/>
          <w:color w:val="000000"/>
          <w:lang w:eastAsia="en-GB"/>
        </w:rPr>
        <w:t>come into force on 29 March 2019</w:t>
      </w:r>
      <w:r w:rsidR="00CD7AAD">
        <w:rPr>
          <w:rFonts w:ascii="Arial" w:hAnsi="Arial" w:cs="Arial"/>
          <w:color w:val="000000"/>
          <w:lang w:eastAsia="en-GB"/>
        </w:rPr>
        <w:t>.</w:t>
      </w:r>
    </w:p>
    <w:p w14:paraId="36455AB8" w14:textId="77777777" w:rsidR="00EF6CCD" w:rsidRPr="00EF6CCD" w:rsidRDefault="00EF6CCD" w:rsidP="00EF6CCD">
      <w:pPr>
        <w:widowControl w:val="0"/>
        <w:autoSpaceDE w:val="0"/>
        <w:autoSpaceDN w:val="0"/>
        <w:adjustRightInd w:val="0"/>
        <w:jc w:val="both"/>
        <w:rPr>
          <w:rFonts w:ascii="Arial" w:hAnsi="Arial" w:cs="Arial"/>
          <w:color w:val="000000"/>
          <w:sz w:val="28"/>
          <w:szCs w:val="28"/>
          <w:lang w:eastAsia="en-GB"/>
        </w:rPr>
      </w:pPr>
      <w:r w:rsidRPr="00EF6CCD">
        <w:rPr>
          <w:rFonts w:ascii="Arial" w:hAnsi="Arial" w:cs="Arial"/>
          <w:color w:val="000000"/>
          <w:sz w:val="28"/>
          <w:szCs w:val="28"/>
          <w:lang w:eastAsia="en-GB"/>
        </w:rPr>
        <w:t> </w:t>
      </w:r>
    </w:p>
    <w:p w14:paraId="1555166E" w14:textId="1D0F6BF4" w:rsidR="002C0A93" w:rsidRPr="002C0A93" w:rsidRDefault="00CF565D" w:rsidP="002C0A93">
      <w:pPr>
        <w:widowControl w:val="0"/>
        <w:autoSpaceDE w:val="0"/>
        <w:autoSpaceDN w:val="0"/>
        <w:adjustRightInd w:val="0"/>
        <w:jc w:val="both"/>
        <w:rPr>
          <w:rFonts w:ascii="Arial" w:hAnsi="Arial" w:cs="Arial"/>
          <w:lang w:eastAsia="en-GB"/>
        </w:rPr>
      </w:pPr>
      <w:r>
        <w:rPr>
          <w:rFonts w:ascii="Arial" w:hAnsi="Arial" w:cs="Arial"/>
          <w:lang w:eastAsia="en-GB"/>
        </w:rPr>
        <w:t>7.8</w:t>
      </w:r>
      <w:r>
        <w:rPr>
          <w:rFonts w:ascii="Arial" w:hAnsi="Arial" w:cs="Arial"/>
          <w:lang w:eastAsia="en-GB"/>
        </w:rPr>
        <w:tab/>
      </w:r>
      <w:r w:rsidR="002C0A93" w:rsidRPr="002C0A93">
        <w:rPr>
          <w:rFonts w:ascii="Arial" w:hAnsi="Arial" w:cs="Arial"/>
          <w:lang w:eastAsia="en-GB"/>
        </w:rPr>
        <w:t>This statutory instrument will be subject to the affirmative resolution procedure.</w:t>
      </w:r>
    </w:p>
    <w:p w14:paraId="7C4A353A" w14:textId="77777777" w:rsidR="002C0A93" w:rsidRDefault="002C0A93" w:rsidP="002C0A93">
      <w:pPr>
        <w:widowControl w:val="0"/>
        <w:autoSpaceDE w:val="0"/>
        <w:autoSpaceDN w:val="0"/>
        <w:adjustRightInd w:val="0"/>
        <w:jc w:val="both"/>
        <w:rPr>
          <w:rFonts w:ascii="Arial" w:hAnsi="Arial" w:cs="Arial"/>
          <w:color w:val="505050"/>
          <w:sz w:val="28"/>
          <w:szCs w:val="28"/>
          <w:lang w:eastAsia="en-GB"/>
        </w:rPr>
      </w:pPr>
      <w:r w:rsidRPr="002C0A93">
        <w:rPr>
          <w:rFonts w:ascii="Arial" w:hAnsi="Arial" w:cs="Arial"/>
          <w:color w:val="505050"/>
          <w:sz w:val="28"/>
          <w:szCs w:val="28"/>
          <w:lang w:eastAsia="en-GB"/>
        </w:rPr>
        <w:t> </w:t>
      </w:r>
    </w:p>
    <w:p w14:paraId="4E6590E9" w14:textId="58E610FE" w:rsidR="006A0A00" w:rsidRPr="006A0A00" w:rsidRDefault="00CF565D" w:rsidP="001D7A26">
      <w:pPr>
        <w:shd w:val="clear" w:color="auto" w:fill="FFFFFF"/>
        <w:rPr>
          <w:rFonts w:ascii="Arial" w:hAnsi="Arial" w:cs="Arial"/>
          <w:b/>
          <w:color w:val="000000"/>
          <w:lang w:val="en"/>
        </w:rPr>
      </w:pPr>
      <w:r>
        <w:rPr>
          <w:rFonts w:ascii="Arial" w:hAnsi="Arial" w:cs="Arial"/>
          <w:b/>
          <w:color w:val="000000"/>
          <w:lang w:val="en"/>
        </w:rPr>
        <w:t>8.0</w:t>
      </w:r>
      <w:r>
        <w:rPr>
          <w:rFonts w:ascii="Arial" w:hAnsi="Arial" w:cs="Arial"/>
          <w:b/>
          <w:color w:val="000000"/>
          <w:lang w:val="en"/>
        </w:rPr>
        <w:tab/>
      </w:r>
      <w:r w:rsidR="006A0A00" w:rsidRPr="006A0A00">
        <w:rPr>
          <w:rFonts w:ascii="Arial" w:hAnsi="Arial" w:cs="Arial"/>
          <w:b/>
          <w:color w:val="000000"/>
          <w:lang w:val="en"/>
        </w:rPr>
        <w:t xml:space="preserve">ICO advice </w:t>
      </w:r>
      <w:r w:rsidR="00755FB9">
        <w:rPr>
          <w:rFonts w:ascii="Arial" w:hAnsi="Arial" w:cs="Arial"/>
          <w:b/>
          <w:color w:val="000000"/>
          <w:lang w:val="en"/>
        </w:rPr>
        <w:t>o</w:t>
      </w:r>
      <w:r w:rsidR="006A0A00" w:rsidRPr="006A0A00">
        <w:rPr>
          <w:rFonts w:ascii="Arial" w:hAnsi="Arial" w:cs="Arial"/>
          <w:b/>
          <w:color w:val="000000"/>
          <w:lang w:val="en"/>
        </w:rPr>
        <w:t xml:space="preserve">n Data </w:t>
      </w:r>
      <w:r w:rsidR="006A0A00">
        <w:rPr>
          <w:rFonts w:ascii="Arial" w:hAnsi="Arial" w:cs="Arial"/>
          <w:b/>
          <w:color w:val="000000"/>
          <w:lang w:val="en"/>
        </w:rPr>
        <w:t>P</w:t>
      </w:r>
      <w:r w:rsidR="006A0A00" w:rsidRPr="006A0A00">
        <w:rPr>
          <w:rFonts w:ascii="Arial" w:hAnsi="Arial" w:cs="Arial"/>
          <w:b/>
          <w:color w:val="000000"/>
          <w:lang w:val="en"/>
        </w:rPr>
        <w:t>rotection and Brexit</w:t>
      </w:r>
      <w:r w:rsidR="00755FB9">
        <w:rPr>
          <w:rStyle w:val="FootnoteReference"/>
          <w:rFonts w:ascii="Arial" w:hAnsi="Arial" w:cs="Arial"/>
          <w:b/>
          <w:color w:val="000000"/>
          <w:lang w:val="en"/>
        </w:rPr>
        <w:footnoteReference w:id="11"/>
      </w:r>
    </w:p>
    <w:p w14:paraId="4212A1D3" w14:textId="77777777" w:rsidR="006A0A00" w:rsidRDefault="006A0A00" w:rsidP="001D7A26">
      <w:pPr>
        <w:shd w:val="clear" w:color="auto" w:fill="FFFFFF"/>
        <w:rPr>
          <w:rFonts w:ascii="Arial" w:hAnsi="Arial" w:cs="Arial"/>
        </w:rPr>
      </w:pPr>
    </w:p>
    <w:p w14:paraId="4A9A9E2C" w14:textId="5D06B9DC" w:rsidR="006A0A00" w:rsidRDefault="00CF565D" w:rsidP="00CF565D">
      <w:pPr>
        <w:shd w:val="clear" w:color="auto" w:fill="FFFFFF"/>
        <w:ind w:left="720" w:hanging="720"/>
        <w:rPr>
          <w:rFonts w:ascii="Arial" w:hAnsi="Arial" w:cs="Arial"/>
          <w:color w:val="000000"/>
          <w:lang w:val="en"/>
        </w:rPr>
      </w:pPr>
      <w:r>
        <w:rPr>
          <w:rFonts w:ascii="Arial" w:hAnsi="Arial" w:cs="Arial"/>
        </w:rPr>
        <w:t>8.1</w:t>
      </w:r>
      <w:r>
        <w:rPr>
          <w:rFonts w:ascii="Arial" w:hAnsi="Arial" w:cs="Arial"/>
        </w:rPr>
        <w:tab/>
      </w:r>
      <w:r w:rsidR="006A0A00" w:rsidRPr="006A0A00">
        <w:rPr>
          <w:rFonts w:ascii="Arial" w:hAnsi="Arial" w:cs="Arial"/>
        </w:rPr>
        <w:t xml:space="preserve">Coinciding with the notice issued by DCMS, the ICO </w:t>
      </w:r>
      <w:r w:rsidR="00F72099">
        <w:rPr>
          <w:rFonts w:ascii="Arial" w:hAnsi="Arial" w:cs="Arial"/>
        </w:rPr>
        <w:t xml:space="preserve">has </w:t>
      </w:r>
      <w:r w:rsidR="006A0A00" w:rsidRPr="006A0A00">
        <w:rPr>
          <w:rFonts w:ascii="Arial" w:hAnsi="Arial" w:cs="Arial"/>
        </w:rPr>
        <w:t>published</w:t>
      </w:r>
      <w:r w:rsidR="001D7334">
        <w:rPr>
          <w:rFonts w:ascii="Arial" w:hAnsi="Arial" w:cs="Arial"/>
        </w:rPr>
        <w:t xml:space="preserve"> </w:t>
      </w:r>
      <w:r w:rsidR="006A0A00" w:rsidRPr="006A0A00">
        <w:rPr>
          <w:rFonts w:ascii="Arial" w:hAnsi="Arial" w:cs="Arial"/>
        </w:rPr>
        <w:t>guidance on the implications of</w:t>
      </w:r>
      <w:r w:rsidR="00BB137A">
        <w:rPr>
          <w:rFonts w:ascii="Arial" w:hAnsi="Arial" w:cs="Arial"/>
        </w:rPr>
        <w:t xml:space="preserve"> ’</w:t>
      </w:r>
      <w:r w:rsidR="006A0A00" w:rsidRPr="006A0A00">
        <w:rPr>
          <w:rFonts w:ascii="Arial" w:hAnsi="Arial" w:cs="Arial"/>
        </w:rPr>
        <w:t>no deal</w:t>
      </w:r>
      <w:r w:rsidR="00BB137A">
        <w:rPr>
          <w:rFonts w:ascii="Arial" w:hAnsi="Arial" w:cs="Arial"/>
        </w:rPr>
        <w:t>’</w:t>
      </w:r>
      <w:r w:rsidR="001D7334">
        <w:rPr>
          <w:rFonts w:ascii="Arial" w:hAnsi="Arial" w:cs="Arial"/>
        </w:rPr>
        <w:t xml:space="preserve"> in</w:t>
      </w:r>
      <w:r w:rsidR="006A0A00" w:rsidRPr="006A0A00">
        <w:rPr>
          <w:rFonts w:ascii="Arial" w:hAnsi="Arial" w:cs="Arial"/>
        </w:rPr>
        <w:t xml:space="preserve"> the context of </w:t>
      </w:r>
      <w:r w:rsidR="00F72099">
        <w:rPr>
          <w:rFonts w:ascii="Arial" w:hAnsi="Arial" w:cs="Arial"/>
        </w:rPr>
        <w:t xml:space="preserve">existing </w:t>
      </w:r>
      <w:r w:rsidR="006A0A00" w:rsidRPr="006A0A00">
        <w:rPr>
          <w:rFonts w:ascii="Arial" w:hAnsi="Arial" w:cs="Arial"/>
          <w:color w:val="000000"/>
          <w:lang w:val="en"/>
        </w:rPr>
        <w:t xml:space="preserve">personal data </w:t>
      </w:r>
      <w:r w:rsidR="00F72099">
        <w:rPr>
          <w:rFonts w:ascii="Arial" w:hAnsi="Arial" w:cs="Arial"/>
          <w:color w:val="000000"/>
          <w:lang w:val="en"/>
        </w:rPr>
        <w:t xml:space="preserve">flows </w:t>
      </w:r>
      <w:r w:rsidR="006A0A00" w:rsidRPr="006A0A00">
        <w:rPr>
          <w:rFonts w:ascii="Arial" w:hAnsi="Arial" w:cs="Arial"/>
          <w:color w:val="000000"/>
          <w:lang w:val="en"/>
        </w:rPr>
        <w:t xml:space="preserve">between </w:t>
      </w:r>
      <w:r w:rsidR="00A10723">
        <w:rPr>
          <w:rFonts w:ascii="Arial" w:hAnsi="Arial" w:cs="Arial"/>
          <w:color w:val="000000"/>
          <w:lang w:val="en"/>
        </w:rPr>
        <w:t xml:space="preserve">organisations in the </w:t>
      </w:r>
      <w:r w:rsidR="006A0A00" w:rsidRPr="006A0A00">
        <w:rPr>
          <w:rFonts w:ascii="Arial" w:hAnsi="Arial" w:cs="Arial"/>
          <w:color w:val="000000"/>
          <w:lang w:val="en"/>
        </w:rPr>
        <w:t xml:space="preserve">UK and the </w:t>
      </w:r>
      <w:r w:rsidR="001D7334">
        <w:rPr>
          <w:rFonts w:ascii="Arial" w:hAnsi="Arial" w:cs="Arial"/>
          <w:color w:val="000000"/>
          <w:lang w:val="en"/>
        </w:rPr>
        <w:t xml:space="preserve">EU and </w:t>
      </w:r>
      <w:r w:rsidR="00F72099">
        <w:rPr>
          <w:rFonts w:ascii="Arial" w:hAnsi="Arial" w:cs="Arial"/>
          <w:color w:val="000000"/>
          <w:lang w:val="en"/>
        </w:rPr>
        <w:t xml:space="preserve">reliance on </w:t>
      </w:r>
      <w:r w:rsidR="001D7334">
        <w:rPr>
          <w:rFonts w:ascii="Arial" w:hAnsi="Arial" w:cs="Arial"/>
          <w:color w:val="000000"/>
          <w:lang w:val="en"/>
        </w:rPr>
        <w:t>existing EU adequacy agreements</w:t>
      </w:r>
      <w:r w:rsidR="006A0A00" w:rsidRPr="006A0A00">
        <w:rPr>
          <w:rFonts w:ascii="Arial" w:hAnsi="Arial" w:cs="Arial"/>
          <w:color w:val="000000"/>
          <w:lang w:val="en"/>
        </w:rPr>
        <w:t>.</w:t>
      </w:r>
    </w:p>
    <w:p w14:paraId="66150B08" w14:textId="77777777" w:rsidR="00A10723" w:rsidRDefault="00A10723" w:rsidP="00CF565D">
      <w:pPr>
        <w:shd w:val="clear" w:color="auto" w:fill="FFFFFF"/>
        <w:ind w:left="720" w:hanging="720"/>
        <w:rPr>
          <w:rFonts w:ascii="Arial" w:hAnsi="Arial" w:cs="Arial"/>
          <w:color w:val="000000"/>
          <w:lang w:val="en"/>
        </w:rPr>
      </w:pPr>
    </w:p>
    <w:p w14:paraId="50551124" w14:textId="3AEC4A27" w:rsidR="00A10723" w:rsidRDefault="00A10723" w:rsidP="00CF565D">
      <w:pPr>
        <w:shd w:val="clear" w:color="auto" w:fill="FFFFFF"/>
        <w:ind w:left="720" w:hanging="720"/>
        <w:rPr>
          <w:rFonts w:ascii="Arial" w:hAnsi="Arial" w:cs="Arial"/>
          <w:color w:val="000000"/>
          <w:lang w:val="en"/>
        </w:rPr>
      </w:pPr>
      <w:r>
        <w:rPr>
          <w:rFonts w:ascii="Arial" w:hAnsi="Arial" w:cs="Arial"/>
          <w:color w:val="000000"/>
          <w:lang w:val="en"/>
        </w:rPr>
        <w:t>8.2</w:t>
      </w:r>
      <w:r>
        <w:rPr>
          <w:rFonts w:ascii="Arial" w:hAnsi="Arial" w:cs="Arial"/>
          <w:color w:val="000000"/>
          <w:lang w:val="en"/>
        </w:rPr>
        <w:tab/>
        <w:t xml:space="preserve">This is primarily aimed at </w:t>
      </w:r>
      <w:r w:rsidR="005C40B8">
        <w:rPr>
          <w:rFonts w:ascii="Arial" w:hAnsi="Arial" w:cs="Arial"/>
          <w:color w:val="000000"/>
          <w:lang w:val="en"/>
        </w:rPr>
        <w:t xml:space="preserve">organisations, especially in the commercial sector </w:t>
      </w:r>
      <w:r>
        <w:rPr>
          <w:rFonts w:ascii="Arial" w:hAnsi="Arial" w:cs="Arial"/>
          <w:color w:val="000000"/>
          <w:lang w:val="en"/>
        </w:rPr>
        <w:t xml:space="preserve">and does not touch on </w:t>
      </w:r>
      <w:r w:rsidR="005C40B8">
        <w:rPr>
          <w:rFonts w:ascii="Arial" w:hAnsi="Arial" w:cs="Arial"/>
          <w:color w:val="000000"/>
          <w:lang w:val="en"/>
        </w:rPr>
        <w:t xml:space="preserve">cross border </w:t>
      </w:r>
      <w:r>
        <w:rPr>
          <w:rFonts w:ascii="Arial" w:hAnsi="Arial" w:cs="Arial"/>
          <w:color w:val="000000"/>
          <w:lang w:val="en"/>
        </w:rPr>
        <w:t xml:space="preserve">policing and security.   </w:t>
      </w:r>
    </w:p>
    <w:p w14:paraId="1D75B388" w14:textId="77777777" w:rsidR="0009684D" w:rsidRDefault="0009684D" w:rsidP="001D7A26">
      <w:pPr>
        <w:shd w:val="clear" w:color="auto" w:fill="FFFFFF"/>
        <w:rPr>
          <w:rFonts w:ascii="Arial" w:hAnsi="Arial" w:cs="Arial"/>
          <w:color w:val="000000"/>
          <w:lang w:val="en"/>
        </w:rPr>
      </w:pPr>
    </w:p>
    <w:p w14:paraId="7C323CB3" w14:textId="40BADE81" w:rsidR="00CF565D" w:rsidRDefault="00CF565D" w:rsidP="00A10723">
      <w:pPr>
        <w:shd w:val="clear" w:color="auto" w:fill="FFFFFF"/>
        <w:ind w:left="720" w:hanging="720"/>
        <w:rPr>
          <w:rFonts w:ascii="Arial" w:hAnsi="Arial" w:cs="Arial"/>
          <w:color w:val="000000"/>
          <w:lang w:val="en"/>
        </w:rPr>
      </w:pPr>
      <w:r>
        <w:rPr>
          <w:rFonts w:ascii="Arial" w:hAnsi="Arial" w:cs="Arial"/>
          <w:color w:val="000000"/>
          <w:lang w:val="en"/>
        </w:rPr>
        <w:t>8.</w:t>
      </w:r>
      <w:r w:rsidR="00A10723">
        <w:rPr>
          <w:rFonts w:ascii="Arial" w:hAnsi="Arial" w:cs="Arial"/>
          <w:color w:val="000000"/>
          <w:lang w:val="en"/>
        </w:rPr>
        <w:t>3</w:t>
      </w:r>
      <w:r>
        <w:rPr>
          <w:rFonts w:ascii="Arial" w:hAnsi="Arial" w:cs="Arial"/>
          <w:color w:val="000000"/>
          <w:lang w:val="en"/>
        </w:rPr>
        <w:tab/>
      </w:r>
      <w:r w:rsidR="0009684D">
        <w:rPr>
          <w:rFonts w:ascii="Arial" w:hAnsi="Arial" w:cs="Arial"/>
          <w:color w:val="000000"/>
          <w:lang w:val="en"/>
        </w:rPr>
        <w:t>Th</w:t>
      </w:r>
      <w:r w:rsidR="00A10723">
        <w:rPr>
          <w:rFonts w:ascii="Arial" w:hAnsi="Arial" w:cs="Arial"/>
          <w:color w:val="000000"/>
          <w:lang w:val="en"/>
        </w:rPr>
        <w:t>e guidance</w:t>
      </w:r>
      <w:r w:rsidR="0009684D">
        <w:rPr>
          <w:rFonts w:ascii="Arial" w:hAnsi="Arial" w:cs="Arial"/>
          <w:color w:val="000000"/>
          <w:lang w:val="en"/>
        </w:rPr>
        <w:t xml:space="preserve"> includes practical </w:t>
      </w:r>
      <w:r w:rsidR="00A10723">
        <w:rPr>
          <w:rFonts w:ascii="Arial" w:hAnsi="Arial" w:cs="Arial"/>
          <w:color w:val="000000"/>
          <w:lang w:val="en"/>
        </w:rPr>
        <w:t xml:space="preserve">advice </w:t>
      </w:r>
      <w:r w:rsidR="0009684D">
        <w:rPr>
          <w:rFonts w:ascii="Arial" w:hAnsi="Arial" w:cs="Arial"/>
          <w:color w:val="000000"/>
          <w:lang w:val="en"/>
        </w:rPr>
        <w:t>to help organisations plan ahead</w:t>
      </w:r>
      <w:r w:rsidR="00755FB9">
        <w:rPr>
          <w:rFonts w:ascii="Arial" w:hAnsi="Arial" w:cs="Arial"/>
          <w:color w:val="000000"/>
          <w:lang w:val="en"/>
        </w:rPr>
        <w:t>,</w:t>
      </w:r>
      <w:r w:rsidR="0009684D">
        <w:rPr>
          <w:rFonts w:ascii="Arial" w:hAnsi="Arial" w:cs="Arial"/>
          <w:color w:val="000000"/>
          <w:lang w:val="en"/>
        </w:rPr>
        <w:t xml:space="preserve"> comprising:</w:t>
      </w:r>
    </w:p>
    <w:p w14:paraId="71C88104" w14:textId="59C4FA27" w:rsidR="00A152FB" w:rsidRPr="00CF565D" w:rsidRDefault="00CF565D" w:rsidP="007A585D">
      <w:pPr>
        <w:pStyle w:val="ListParagraph"/>
        <w:numPr>
          <w:ilvl w:val="0"/>
          <w:numId w:val="24"/>
        </w:numPr>
        <w:spacing w:before="100" w:beforeAutospacing="1" w:after="100" w:afterAutospacing="1" w:line="360" w:lineRule="auto"/>
        <w:rPr>
          <w:rFonts w:ascii="Arial" w:hAnsi="Arial" w:cs="Arial"/>
          <w:color w:val="000000"/>
          <w:lang w:val="en" w:eastAsia="en-GB"/>
        </w:rPr>
      </w:pPr>
      <w:r w:rsidRPr="00CF565D">
        <w:rPr>
          <w:rFonts w:ascii="Arial" w:hAnsi="Arial" w:cs="Arial"/>
          <w:color w:val="000000"/>
          <w:lang w:val="en" w:eastAsia="en-GB"/>
        </w:rPr>
        <w:t>a</w:t>
      </w:r>
      <w:r w:rsidR="00A152FB" w:rsidRPr="00CF565D">
        <w:rPr>
          <w:rFonts w:ascii="Arial" w:hAnsi="Arial" w:cs="Arial"/>
          <w:color w:val="000000"/>
          <w:lang w:val="en" w:eastAsia="en-GB"/>
        </w:rPr>
        <w:t xml:space="preserve"> </w:t>
      </w:r>
      <w:hyperlink r:id="rId11" w:history="1">
        <w:r w:rsidR="00A152FB" w:rsidRPr="00CF565D">
          <w:rPr>
            <w:rStyle w:val="Hyperlink"/>
            <w:rFonts w:ascii="Arial" w:hAnsi="Arial" w:cs="Arial"/>
            <w:lang w:val="en" w:eastAsia="en-GB"/>
          </w:rPr>
          <w:t>‘Six Steps to Take’</w:t>
        </w:r>
      </w:hyperlink>
      <w:r w:rsidR="00A152FB" w:rsidRPr="00CF565D">
        <w:rPr>
          <w:rFonts w:ascii="Arial" w:hAnsi="Arial" w:cs="Arial"/>
          <w:color w:val="000000"/>
          <w:lang w:val="en" w:eastAsia="en-GB"/>
        </w:rPr>
        <w:t xml:space="preserve"> guide</w:t>
      </w:r>
      <w:r w:rsidR="00A152FB">
        <w:rPr>
          <w:rStyle w:val="FootnoteReference"/>
          <w:rFonts w:ascii="Arial" w:hAnsi="Arial" w:cs="Arial"/>
          <w:color w:val="000000"/>
          <w:lang w:val="en" w:eastAsia="en-GB"/>
        </w:rPr>
        <w:footnoteReference w:id="12"/>
      </w:r>
      <w:r w:rsidR="00A152FB" w:rsidRPr="00CF565D">
        <w:rPr>
          <w:rFonts w:ascii="Arial" w:hAnsi="Arial" w:cs="Arial"/>
          <w:color w:val="000000"/>
          <w:lang w:val="en" w:eastAsia="en-GB"/>
        </w:rPr>
        <w:t>;</w:t>
      </w:r>
    </w:p>
    <w:p w14:paraId="0D7FFEEC" w14:textId="09000F5C" w:rsidR="00A152FB" w:rsidRPr="007A585D" w:rsidRDefault="00A152FB" w:rsidP="007A585D">
      <w:pPr>
        <w:pStyle w:val="ListParagraph"/>
        <w:numPr>
          <w:ilvl w:val="0"/>
          <w:numId w:val="24"/>
        </w:numPr>
        <w:spacing w:before="100" w:beforeAutospacing="1" w:after="100" w:afterAutospacing="1"/>
        <w:rPr>
          <w:rFonts w:ascii="Arial" w:hAnsi="Arial" w:cs="Arial"/>
          <w:color w:val="000000"/>
          <w:lang w:val="en" w:eastAsia="en-GB"/>
        </w:rPr>
      </w:pPr>
      <w:r w:rsidRPr="007A585D">
        <w:rPr>
          <w:rFonts w:ascii="Arial" w:hAnsi="Arial" w:cs="Arial"/>
          <w:color w:val="000000"/>
          <w:lang w:val="en" w:eastAsia="en-GB"/>
        </w:rPr>
        <w:t xml:space="preserve">broader </w:t>
      </w:r>
      <w:hyperlink r:id="rId12" w:history="1">
        <w:r w:rsidRPr="007A585D">
          <w:rPr>
            <w:rStyle w:val="Hyperlink"/>
            <w:rFonts w:ascii="Arial" w:hAnsi="Arial" w:cs="Arial"/>
            <w:lang w:val="en" w:eastAsia="en-GB"/>
          </w:rPr>
          <w:t>guidance on the effects of leaving the EU without a withdrawal agreement</w:t>
        </w:r>
        <w:r>
          <w:rPr>
            <w:rStyle w:val="FootnoteReference"/>
            <w:rFonts w:ascii="Arial" w:hAnsi="Arial" w:cs="Arial"/>
            <w:color w:val="8634C6"/>
            <w:u w:val="single"/>
            <w:lang w:val="en" w:eastAsia="en-GB"/>
          </w:rPr>
          <w:footnoteReference w:id="13"/>
        </w:r>
        <w:r w:rsidRPr="007A585D">
          <w:rPr>
            <w:rStyle w:val="Hyperlink"/>
            <w:rFonts w:ascii="Arial" w:hAnsi="Arial" w:cs="Arial"/>
            <w:lang w:val="en" w:eastAsia="en-GB"/>
          </w:rPr>
          <w:t>,</w:t>
        </w:r>
      </w:hyperlink>
      <w:r w:rsidRPr="007A585D">
        <w:rPr>
          <w:rFonts w:ascii="Arial" w:hAnsi="Arial" w:cs="Arial"/>
          <w:color w:val="000000"/>
          <w:lang w:val="en" w:eastAsia="en-GB"/>
        </w:rPr>
        <w:t xml:space="preserve"> which is of relevance to organisations: </w:t>
      </w:r>
    </w:p>
    <w:p w14:paraId="02636B85" w14:textId="77777777" w:rsidR="00A152FB" w:rsidRPr="00A152FB" w:rsidRDefault="00A152FB" w:rsidP="00A152FB">
      <w:pPr>
        <w:pStyle w:val="ListParagraph"/>
        <w:rPr>
          <w:rFonts w:ascii="Arial" w:hAnsi="Arial" w:cs="Arial"/>
          <w:color w:val="000000"/>
          <w:lang w:val="en" w:eastAsia="en-GB"/>
        </w:rPr>
      </w:pPr>
    </w:p>
    <w:p w14:paraId="3B20813E" w14:textId="337CB6D8" w:rsidR="00A152FB" w:rsidRPr="00031292" w:rsidRDefault="00A152FB" w:rsidP="007A585D">
      <w:pPr>
        <w:pStyle w:val="ListParagraph"/>
        <w:numPr>
          <w:ilvl w:val="1"/>
          <w:numId w:val="10"/>
        </w:numPr>
        <w:spacing w:before="100" w:beforeAutospacing="1" w:after="100" w:afterAutospacing="1"/>
        <w:rPr>
          <w:rFonts w:ascii="Arial" w:hAnsi="Arial" w:cs="Arial"/>
          <w:color w:val="000000"/>
          <w:lang w:val="en" w:eastAsia="en-GB"/>
        </w:rPr>
      </w:pPr>
      <w:r w:rsidRPr="005F7267">
        <w:rPr>
          <w:rFonts w:ascii="Arial" w:hAnsi="Arial" w:cs="Arial"/>
          <w:color w:val="000000"/>
          <w:lang w:val="en" w:eastAsia="en-GB"/>
        </w:rPr>
        <w:t>o</w:t>
      </w:r>
      <w:r w:rsidRPr="00031292">
        <w:rPr>
          <w:rFonts w:ascii="Arial" w:hAnsi="Arial" w:cs="Arial"/>
          <w:color w:val="000000"/>
          <w:lang w:val="en" w:eastAsia="en-GB"/>
        </w:rPr>
        <w:t>perat</w:t>
      </w:r>
      <w:r w:rsidRPr="005F7267">
        <w:rPr>
          <w:rFonts w:ascii="Arial" w:hAnsi="Arial" w:cs="Arial"/>
          <w:color w:val="000000"/>
          <w:lang w:val="en" w:eastAsia="en-GB"/>
        </w:rPr>
        <w:t xml:space="preserve">ing </w:t>
      </w:r>
      <w:r w:rsidRPr="00031292">
        <w:rPr>
          <w:rFonts w:ascii="Arial" w:hAnsi="Arial" w:cs="Arial"/>
          <w:color w:val="000000"/>
          <w:lang w:val="en" w:eastAsia="en-GB"/>
        </w:rPr>
        <w:t xml:space="preserve">in </w:t>
      </w:r>
      <w:r w:rsidR="00F62745">
        <w:rPr>
          <w:rFonts w:ascii="Arial" w:hAnsi="Arial" w:cs="Arial"/>
          <w:color w:val="000000"/>
          <w:lang w:val="en" w:eastAsia="en-GB"/>
        </w:rPr>
        <w:t xml:space="preserve">the </w:t>
      </w:r>
      <w:r w:rsidRPr="00031292">
        <w:rPr>
          <w:rFonts w:ascii="Arial" w:hAnsi="Arial" w:cs="Arial"/>
          <w:color w:val="000000"/>
          <w:lang w:val="en" w:eastAsia="en-GB"/>
        </w:rPr>
        <w:t>EEA, which includes the EU; or</w:t>
      </w:r>
    </w:p>
    <w:p w14:paraId="690AFCA4" w14:textId="77777777" w:rsidR="00A152FB" w:rsidRPr="00031292" w:rsidRDefault="00A152FB" w:rsidP="007A585D">
      <w:pPr>
        <w:numPr>
          <w:ilvl w:val="1"/>
          <w:numId w:val="10"/>
        </w:numPr>
        <w:spacing w:before="100" w:beforeAutospacing="1" w:after="100" w:afterAutospacing="1"/>
        <w:rPr>
          <w:rFonts w:ascii="Arial" w:hAnsi="Arial" w:cs="Arial"/>
          <w:color w:val="000000"/>
          <w:lang w:val="en" w:eastAsia="en-GB"/>
        </w:rPr>
      </w:pPr>
      <w:r w:rsidRPr="00031292">
        <w:rPr>
          <w:rFonts w:ascii="Arial" w:hAnsi="Arial" w:cs="Arial"/>
          <w:color w:val="000000"/>
          <w:lang w:val="en" w:eastAsia="en-GB"/>
        </w:rPr>
        <w:t>send</w:t>
      </w:r>
      <w:r w:rsidRPr="005F7267">
        <w:rPr>
          <w:rFonts w:ascii="Arial" w:hAnsi="Arial" w:cs="Arial"/>
          <w:color w:val="000000"/>
          <w:lang w:val="en" w:eastAsia="en-GB"/>
        </w:rPr>
        <w:t>ing</w:t>
      </w:r>
      <w:r w:rsidRPr="00031292">
        <w:rPr>
          <w:rFonts w:ascii="Arial" w:hAnsi="Arial" w:cs="Arial"/>
          <w:color w:val="000000"/>
          <w:lang w:val="en" w:eastAsia="en-GB"/>
        </w:rPr>
        <w:t xml:space="preserve"> personal data outside the UK; or</w:t>
      </w:r>
    </w:p>
    <w:p w14:paraId="658B1D9B" w14:textId="77777777" w:rsidR="00A152FB" w:rsidRPr="005F7267" w:rsidRDefault="00A152FB" w:rsidP="007A585D">
      <w:pPr>
        <w:numPr>
          <w:ilvl w:val="1"/>
          <w:numId w:val="10"/>
        </w:numPr>
        <w:spacing w:before="100" w:beforeAutospacing="1" w:after="100" w:afterAutospacing="1"/>
        <w:rPr>
          <w:rFonts w:ascii="Arial" w:hAnsi="Arial" w:cs="Arial"/>
          <w:color w:val="000000"/>
          <w:lang w:val="en" w:eastAsia="en-GB"/>
        </w:rPr>
      </w:pPr>
      <w:r w:rsidRPr="00031292">
        <w:rPr>
          <w:rFonts w:ascii="Arial" w:hAnsi="Arial" w:cs="Arial"/>
          <w:color w:val="000000"/>
          <w:lang w:val="en" w:eastAsia="en-GB"/>
        </w:rPr>
        <w:t>receiv</w:t>
      </w:r>
      <w:r w:rsidRPr="005F7267">
        <w:rPr>
          <w:rFonts w:ascii="Arial" w:hAnsi="Arial" w:cs="Arial"/>
          <w:color w:val="000000"/>
          <w:lang w:val="en" w:eastAsia="en-GB"/>
        </w:rPr>
        <w:t>ing</w:t>
      </w:r>
      <w:r w:rsidRPr="00031292">
        <w:rPr>
          <w:rFonts w:ascii="Arial" w:hAnsi="Arial" w:cs="Arial"/>
          <w:color w:val="000000"/>
          <w:lang w:val="en" w:eastAsia="en-GB"/>
        </w:rPr>
        <w:t xml:space="preserve"> personal data from the EEA</w:t>
      </w:r>
    </w:p>
    <w:p w14:paraId="1949D0E5" w14:textId="11E8775C" w:rsidR="005F7267" w:rsidRPr="005F7267" w:rsidRDefault="005F7267" w:rsidP="007A585D">
      <w:pPr>
        <w:shd w:val="clear" w:color="auto" w:fill="FFFFFF"/>
        <w:ind w:left="1080" w:firstLine="360"/>
        <w:rPr>
          <w:rFonts w:ascii="Arial" w:hAnsi="Arial" w:cs="Arial"/>
          <w:color w:val="000000"/>
          <w:lang w:val="en" w:eastAsia="en-GB"/>
        </w:rPr>
      </w:pPr>
      <w:r w:rsidRPr="005F7267">
        <w:rPr>
          <w:rFonts w:ascii="Arial" w:hAnsi="Arial" w:cs="Arial"/>
          <w:color w:val="000000"/>
          <w:lang w:val="en" w:eastAsia="en-GB"/>
        </w:rPr>
        <w:t>and those subject to any of the following regulations:</w:t>
      </w:r>
    </w:p>
    <w:p w14:paraId="3F4158BE" w14:textId="406D2464" w:rsidR="005F7267" w:rsidRPr="005F7267" w:rsidRDefault="005F7267" w:rsidP="007A585D">
      <w:pPr>
        <w:numPr>
          <w:ilvl w:val="1"/>
          <w:numId w:val="10"/>
        </w:numPr>
        <w:shd w:val="clear" w:color="auto" w:fill="FFFFFF"/>
        <w:spacing w:before="100" w:beforeAutospacing="1" w:after="100" w:afterAutospacing="1"/>
        <w:rPr>
          <w:rFonts w:ascii="Arial" w:hAnsi="Arial" w:cs="Arial"/>
          <w:color w:val="000000"/>
          <w:lang w:val="en" w:eastAsia="en-GB"/>
        </w:rPr>
      </w:pPr>
      <w:r w:rsidRPr="005F7267">
        <w:rPr>
          <w:rFonts w:ascii="Arial" w:hAnsi="Arial" w:cs="Arial"/>
          <w:color w:val="000000"/>
          <w:lang w:val="en" w:eastAsia="en-GB"/>
        </w:rPr>
        <w:t>the Privacy and Electronic Communications (EC Directive) Regulations 2003 (PECR);</w:t>
      </w:r>
    </w:p>
    <w:p w14:paraId="48F6555A" w14:textId="75080F30" w:rsidR="005F7267" w:rsidRDefault="005F7267" w:rsidP="007A585D">
      <w:pPr>
        <w:numPr>
          <w:ilvl w:val="1"/>
          <w:numId w:val="10"/>
        </w:numPr>
        <w:shd w:val="clear" w:color="auto" w:fill="FFFFFF"/>
        <w:spacing w:before="100" w:beforeAutospacing="1" w:after="100" w:afterAutospacing="1"/>
        <w:rPr>
          <w:rFonts w:ascii="Arial" w:hAnsi="Arial" w:cs="Arial"/>
          <w:color w:val="000000"/>
          <w:lang w:val="en" w:eastAsia="en-GB"/>
        </w:rPr>
      </w:pPr>
      <w:r w:rsidRPr="005F7267">
        <w:rPr>
          <w:rFonts w:ascii="Arial" w:hAnsi="Arial" w:cs="Arial"/>
          <w:color w:val="000000"/>
          <w:lang w:val="en" w:eastAsia="en-GB"/>
        </w:rPr>
        <w:t>the Network and Information Systems Regulations 2018 (NIS); or</w:t>
      </w:r>
    </w:p>
    <w:p w14:paraId="2D353FDA" w14:textId="7AB84EF9" w:rsidR="005F7267" w:rsidRPr="007A585D" w:rsidRDefault="007A585D" w:rsidP="007A585D">
      <w:pPr>
        <w:numPr>
          <w:ilvl w:val="1"/>
          <w:numId w:val="10"/>
        </w:numPr>
        <w:shd w:val="clear" w:color="auto" w:fill="FFFFFF"/>
        <w:spacing w:before="100" w:beforeAutospacing="1" w:after="100" w:afterAutospacing="1"/>
        <w:rPr>
          <w:rFonts w:ascii="Arial" w:hAnsi="Arial" w:cs="Arial"/>
          <w:color w:val="000000"/>
          <w:lang w:val="en" w:eastAsia="en-GB"/>
        </w:rPr>
      </w:pPr>
      <w:r w:rsidRPr="007A585D">
        <w:rPr>
          <w:rFonts w:ascii="Arial" w:hAnsi="Arial" w:cs="Arial"/>
          <w:color w:val="000000"/>
          <w:lang w:val="en" w:eastAsia="en-GB"/>
        </w:rPr>
        <w:t>Regulation (EU) 910/2014 on electronic identification and trust services for electronic transactions in the internal market (eIDAS</w:t>
      </w:r>
      <w:r w:rsidR="003979A9" w:rsidRPr="007A585D">
        <w:rPr>
          <w:rFonts w:ascii="Arial" w:hAnsi="Arial" w:cs="Arial"/>
          <w:color w:val="000000"/>
          <w:lang w:val="en" w:eastAsia="en-GB"/>
        </w:rPr>
        <w:t>)</w:t>
      </w:r>
      <w:r w:rsidR="003979A9">
        <w:rPr>
          <w:rFonts w:ascii="Arial" w:hAnsi="Arial" w:cs="Arial"/>
          <w:color w:val="000000"/>
          <w:lang w:val="en" w:eastAsia="en-GB"/>
        </w:rPr>
        <w:t>.</w:t>
      </w:r>
    </w:p>
    <w:p w14:paraId="03767063" w14:textId="645F93A8" w:rsidR="0009684D" w:rsidRPr="007A585D" w:rsidRDefault="0009684D" w:rsidP="007A585D">
      <w:pPr>
        <w:pStyle w:val="ListParagraph"/>
        <w:numPr>
          <w:ilvl w:val="0"/>
          <w:numId w:val="25"/>
        </w:numPr>
        <w:spacing w:before="100" w:beforeAutospacing="1" w:after="100" w:afterAutospacing="1" w:line="360" w:lineRule="auto"/>
        <w:rPr>
          <w:rFonts w:ascii="Arial" w:hAnsi="Arial" w:cs="Arial"/>
          <w:color w:val="000000"/>
          <w:lang w:val="en" w:eastAsia="en-GB"/>
        </w:rPr>
      </w:pPr>
      <w:r w:rsidRPr="007A585D">
        <w:rPr>
          <w:rFonts w:ascii="Arial" w:hAnsi="Arial" w:cs="Arial"/>
          <w:color w:val="000000"/>
          <w:lang w:val="en" w:eastAsia="en-GB"/>
        </w:rPr>
        <w:t xml:space="preserve">a general overview in the form of </w:t>
      </w:r>
      <w:r w:rsidRPr="003979A9">
        <w:rPr>
          <w:rStyle w:val="Hyperlink"/>
          <w:rFonts w:ascii="Arial" w:hAnsi="Arial" w:cs="Arial"/>
          <w:lang w:val="en" w:eastAsia="en-GB"/>
        </w:rPr>
        <w:t>Frequently Asked Questions</w:t>
      </w:r>
      <w:r w:rsidR="00F42E83">
        <w:rPr>
          <w:rStyle w:val="FootnoteReference"/>
          <w:rFonts w:ascii="Arial" w:hAnsi="Arial" w:cs="Arial"/>
          <w:color w:val="8634C6"/>
          <w:u w:val="single"/>
          <w:lang w:val="en" w:eastAsia="en-GB"/>
        </w:rPr>
        <w:footnoteReference w:id="14"/>
      </w:r>
      <w:r w:rsidR="003979A9">
        <w:rPr>
          <w:rFonts w:ascii="Arial" w:hAnsi="Arial" w:cs="Arial"/>
          <w:color w:val="000000"/>
          <w:lang w:val="en" w:eastAsia="en-GB"/>
        </w:rPr>
        <w:t>;</w:t>
      </w:r>
    </w:p>
    <w:p w14:paraId="548A6D56" w14:textId="5BF6C0EB" w:rsidR="00203FDC" w:rsidRPr="007A585D" w:rsidRDefault="00203FDC" w:rsidP="007A585D">
      <w:pPr>
        <w:pStyle w:val="ListParagraph"/>
        <w:numPr>
          <w:ilvl w:val="0"/>
          <w:numId w:val="25"/>
        </w:numPr>
        <w:outlineLvl w:val="3"/>
        <w:rPr>
          <w:rFonts w:ascii="Arial" w:hAnsi="Arial" w:cs="Arial"/>
          <w:color w:val="000000"/>
          <w:lang w:val="en" w:eastAsia="en-GB"/>
        </w:rPr>
      </w:pPr>
      <w:r w:rsidRPr="007A585D">
        <w:rPr>
          <w:rFonts w:ascii="Arial" w:hAnsi="Arial" w:cs="Arial"/>
          <w:color w:val="000000"/>
          <w:lang w:val="en" w:eastAsia="en-GB"/>
        </w:rPr>
        <w:t xml:space="preserve">an </w:t>
      </w:r>
      <w:hyperlink r:id="rId13" w:history="1">
        <w:r w:rsidRPr="007A585D">
          <w:rPr>
            <w:rStyle w:val="Hyperlink"/>
            <w:rFonts w:ascii="Arial" w:hAnsi="Arial" w:cs="Arial"/>
            <w:lang w:val="en" w:eastAsia="en-GB"/>
          </w:rPr>
          <w:t>interactive guide</w:t>
        </w:r>
      </w:hyperlink>
      <w:r w:rsidRPr="007A585D">
        <w:rPr>
          <w:rFonts w:ascii="Arial" w:hAnsi="Arial" w:cs="Arial"/>
          <w:color w:val="000000"/>
          <w:lang w:val="en" w:eastAsia="en-GB"/>
        </w:rPr>
        <w:t xml:space="preserve"> mainly for businesses to determine whether Standard Contractual Clauses are needed between themselves and org</w:t>
      </w:r>
      <w:r w:rsidR="00F42E83" w:rsidRPr="007A585D">
        <w:rPr>
          <w:rFonts w:ascii="Arial" w:hAnsi="Arial" w:cs="Arial"/>
          <w:color w:val="000000"/>
          <w:lang w:val="en" w:eastAsia="en-GB"/>
        </w:rPr>
        <w:t xml:space="preserve">anisations </w:t>
      </w:r>
      <w:r w:rsidRPr="007A585D">
        <w:rPr>
          <w:rFonts w:ascii="Arial" w:hAnsi="Arial" w:cs="Arial"/>
          <w:color w:val="000000"/>
          <w:lang w:val="en" w:eastAsia="en-GB"/>
        </w:rPr>
        <w:t>outside the UK</w:t>
      </w:r>
      <w:r w:rsidR="00B60046">
        <w:rPr>
          <w:rStyle w:val="FootnoteReference"/>
          <w:rFonts w:ascii="Arial" w:hAnsi="Arial" w:cs="Arial"/>
          <w:color w:val="000000"/>
          <w:lang w:val="en" w:eastAsia="en-GB"/>
        </w:rPr>
        <w:footnoteReference w:id="15"/>
      </w:r>
      <w:r w:rsidR="00904589" w:rsidRPr="007A585D">
        <w:rPr>
          <w:rFonts w:ascii="Arial" w:hAnsi="Arial" w:cs="Arial"/>
          <w:color w:val="000000"/>
          <w:lang w:val="en" w:eastAsia="en-GB"/>
        </w:rPr>
        <w:t xml:space="preserve"> (e.g. EEA states and other non EEA jurisdictions)</w:t>
      </w:r>
      <w:r w:rsidR="00F42E83" w:rsidRPr="007A585D">
        <w:rPr>
          <w:rFonts w:ascii="Arial" w:hAnsi="Arial" w:cs="Arial"/>
          <w:color w:val="000000"/>
          <w:lang w:val="en" w:eastAsia="en-GB"/>
        </w:rPr>
        <w:t>;</w:t>
      </w:r>
    </w:p>
    <w:p w14:paraId="41993FBD" w14:textId="77777777" w:rsidR="00F72099" w:rsidRPr="00F72099" w:rsidRDefault="00F72099" w:rsidP="00F72099">
      <w:pPr>
        <w:ind w:left="357"/>
        <w:outlineLvl w:val="3"/>
        <w:rPr>
          <w:rFonts w:ascii="Arial" w:hAnsi="Arial" w:cs="Arial"/>
          <w:color w:val="000000"/>
          <w:lang w:val="en" w:eastAsia="en-GB"/>
        </w:rPr>
      </w:pPr>
    </w:p>
    <w:p w14:paraId="549EE9B0" w14:textId="414A5587" w:rsidR="00820D0E" w:rsidRPr="007A585D" w:rsidRDefault="0085283B" w:rsidP="007A585D">
      <w:pPr>
        <w:pStyle w:val="ListParagraph"/>
        <w:numPr>
          <w:ilvl w:val="0"/>
          <w:numId w:val="25"/>
        </w:numPr>
        <w:outlineLvl w:val="3"/>
        <w:rPr>
          <w:rFonts w:ascii="Arial" w:hAnsi="Arial" w:cs="Arial"/>
          <w:lang w:val="en" w:eastAsia="en-GB"/>
        </w:rPr>
      </w:pPr>
      <w:r w:rsidRPr="007A585D">
        <w:rPr>
          <w:rFonts w:ascii="Arial" w:hAnsi="Arial" w:cs="Arial"/>
          <w:lang w:val="en" w:eastAsia="en-GB"/>
        </w:rPr>
        <w:t>templates containing the last</w:t>
      </w:r>
      <w:r w:rsidR="00F72099" w:rsidRPr="007A585D">
        <w:rPr>
          <w:rFonts w:ascii="Arial" w:hAnsi="Arial" w:cs="Arial"/>
          <w:lang w:val="en" w:eastAsia="en-GB"/>
        </w:rPr>
        <w:t xml:space="preserve"> approved (pre GDPR)  </w:t>
      </w:r>
      <w:hyperlink r:id="rId14" w:history="1">
        <w:r w:rsidR="00F72099" w:rsidRPr="007A585D">
          <w:rPr>
            <w:rStyle w:val="Hyperlink"/>
            <w:rFonts w:ascii="Arial" w:hAnsi="Arial" w:cs="Arial"/>
            <w:lang w:val="en" w:eastAsia="en-GB"/>
          </w:rPr>
          <w:t>EU Commission templates with Standard Contractual Clauses (SCCs) for ‘controller to controller’ and controller to data processor’</w:t>
        </w:r>
      </w:hyperlink>
      <w:r>
        <w:rPr>
          <w:rStyle w:val="FootnoteReference"/>
          <w:rFonts w:ascii="Arial" w:hAnsi="Arial" w:cs="Arial"/>
          <w:lang w:val="en" w:eastAsia="en-GB"/>
        </w:rPr>
        <w:footnoteReference w:id="16"/>
      </w:r>
    </w:p>
    <w:p w14:paraId="6BD8BB71" w14:textId="77777777" w:rsidR="00F72099" w:rsidRDefault="00F72099" w:rsidP="001D7A26">
      <w:pPr>
        <w:shd w:val="clear" w:color="auto" w:fill="FFFFFF"/>
        <w:rPr>
          <w:rFonts w:ascii="Arial" w:hAnsi="Arial" w:cs="Arial"/>
          <w:color w:val="000000"/>
          <w:lang w:val="en" w:eastAsia="en-GB"/>
        </w:rPr>
      </w:pPr>
    </w:p>
    <w:p w14:paraId="5E33EEC1" w14:textId="14370ECF" w:rsidR="00B832A6" w:rsidRDefault="007A585D" w:rsidP="007A585D">
      <w:pPr>
        <w:shd w:val="clear" w:color="auto" w:fill="FFFFFF"/>
        <w:ind w:left="720" w:hanging="720"/>
        <w:rPr>
          <w:rFonts w:ascii="Arial" w:hAnsi="Arial" w:cs="Arial"/>
          <w:color w:val="000000"/>
          <w:lang w:val="en" w:eastAsia="en-GB"/>
        </w:rPr>
      </w:pPr>
      <w:r>
        <w:rPr>
          <w:rFonts w:ascii="Arial" w:hAnsi="Arial" w:cs="Arial"/>
          <w:color w:val="000000"/>
          <w:lang w:val="en" w:eastAsia="en-GB"/>
        </w:rPr>
        <w:t>8.</w:t>
      </w:r>
      <w:r w:rsidR="00A10723">
        <w:rPr>
          <w:rFonts w:ascii="Arial" w:hAnsi="Arial" w:cs="Arial"/>
          <w:color w:val="000000"/>
          <w:lang w:val="en" w:eastAsia="en-GB"/>
        </w:rPr>
        <w:t>4</w:t>
      </w:r>
      <w:r>
        <w:rPr>
          <w:rFonts w:ascii="Arial" w:hAnsi="Arial" w:cs="Arial"/>
          <w:color w:val="000000"/>
          <w:lang w:val="en" w:eastAsia="en-GB"/>
        </w:rPr>
        <w:tab/>
      </w:r>
      <w:r w:rsidR="00253D77">
        <w:rPr>
          <w:rFonts w:ascii="Arial" w:hAnsi="Arial" w:cs="Arial"/>
          <w:color w:val="000000"/>
          <w:lang w:val="en" w:eastAsia="en-GB"/>
        </w:rPr>
        <w:t>Within the ICO’s S</w:t>
      </w:r>
      <w:r w:rsidR="00253D77" w:rsidRPr="00253D77">
        <w:rPr>
          <w:rFonts w:ascii="Arial" w:hAnsi="Arial" w:cs="Arial"/>
          <w:color w:val="000000"/>
          <w:lang w:val="en" w:eastAsia="en-GB"/>
        </w:rPr>
        <w:t xml:space="preserve">ix </w:t>
      </w:r>
      <w:r w:rsidR="00253D77">
        <w:rPr>
          <w:rFonts w:ascii="Arial" w:hAnsi="Arial" w:cs="Arial"/>
          <w:color w:val="000000"/>
          <w:lang w:val="en" w:eastAsia="en-GB"/>
        </w:rPr>
        <w:t>S</w:t>
      </w:r>
      <w:r w:rsidR="00253D77" w:rsidRPr="00253D77">
        <w:rPr>
          <w:rFonts w:ascii="Arial" w:hAnsi="Arial" w:cs="Arial"/>
          <w:color w:val="000000"/>
          <w:lang w:val="en" w:eastAsia="en-GB"/>
        </w:rPr>
        <w:t xml:space="preserve">teps </w:t>
      </w:r>
      <w:r w:rsidR="00253D77">
        <w:rPr>
          <w:rFonts w:ascii="Arial" w:hAnsi="Arial" w:cs="Arial"/>
          <w:color w:val="000000"/>
          <w:lang w:val="en" w:eastAsia="en-GB"/>
        </w:rPr>
        <w:t>G</w:t>
      </w:r>
      <w:r w:rsidR="00253D77" w:rsidRPr="00253D77">
        <w:rPr>
          <w:rFonts w:ascii="Arial" w:hAnsi="Arial" w:cs="Arial"/>
          <w:color w:val="000000"/>
          <w:lang w:val="en" w:eastAsia="en-GB"/>
        </w:rPr>
        <w:t>uide</w:t>
      </w:r>
      <w:r w:rsidR="00082BAE">
        <w:rPr>
          <w:rFonts w:ascii="Arial" w:hAnsi="Arial" w:cs="Arial"/>
          <w:color w:val="000000"/>
          <w:lang w:val="en" w:eastAsia="en-GB"/>
        </w:rPr>
        <w:t>,</w:t>
      </w:r>
      <w:r w:rsidR="00253D77" w:rsidRPr="00253D77">
        <w:rPr>
          <w:rFonts w:ascii="Arial" w:hAnsi="Arial" w:cs="Arial"/>
          <w:color w:val="000000"/>
          <w:lang w:val="en" w:eastAsia="en-GB"/>
        </w:rPr>
        <w:t xml:space="preserve"> </w:t>
      </w:r>
      <w:r w:rsidR="00253D77">
        <w:rPr>
          <w:rFonts w:ascii="Arial" w:hAnsi="Arial" w:cs="Arial"/>
          <w:color w:val="000000"/>
          <w:lang w:val="en" w:eastAsia="en-GB"/>
        </w:rPr>
        <w:t xml:space="preserve">organisations are encouraged </w:t>
      </w:r>
      <w:r w:rsidR="00253D77" w:rsidRPr="00253D77">
        <w:rPr>
          <w:rFonts w:ascii="Arial" w:hAnsi="Arial" w:cs="Arial"/>
          <w:color w:val="000000"/>
          <w:lang w:val="en" w:eastAsia="en-GB"/>
        </w:rPr>
        <w:t xml:space="preserve">to </w:t>
      </w:r>
      <w:r w:rsidR="00B832A6">
        <w:rPr>
          <w:rFonts w:ascii="Arial" w:hAnsi="Arial" w:cs="Arial"/>
          <w:color w:val="000000"/>
          <w:lang w:val="en" w:eastAsia="en-GB"/>
        </w:rPr>
        <w:t xml:space="preserve">identify </w:t>
      </w:r>
      <w:r w:rsidR="005C40B8">
        <w:rPr>
          <w:rFonts w:ascii="Arial" w:hAnsi="Arial" w:cs="Arial"/>
          <w:color w:val="000000"/>
          <w:lang w:val="en" w:eastAsia="en-GB"/>
        </w:rPr>
        <w:t xml:space="preserve">existing </w:t>
      </w:r>
      <w:r w:rsidR="00A10723">
        <w:rPr>
          <w:rFonts w:ascii="Arial" w:hAnsi="Arial" w:cs="Arial"/>
          <w:color w:val="000000"/>
          <w:lang w:val="en" w:eastAsia="en-GB"/>
        </w:rPr>
        <w:t xml:space="preserve">regular </w:t>
      </w:r>
      <w:r w:rsidR="00253D77" w:rsidRPr="00253D77">
        <w:rPr>
          <w:rFonts w:ascii="Arial" w:hAnsi="Arial" w:cs="Arial"/>
          <w:color w:val="000000"/>
          <w:lang w:val="en" w:eastAsia="en-GB"/>
        </w:rPr>
        <w:t xml:space="preserve">data </w:t>
      </w:r>
      <w:r w:rsidR="00253D77">
        <w:rPr>
          <w:rFonts w:ascii="Arial" w:hAnsi="Arial" w:cs="Arial"/>
          <w:color w:val="000000"/>
          <w:lang w:val="en" w:eastAsia="en-GB"/>
        </w:rPr>
        <w:t>flows/</w:t>
      </w:r>
      <w:r w:rsidR="00253D77" w:rsidRPr="00253D77">
        <w:rPr>
          <w:rFonts w:ascii="Arial" w:hAnsi="Arial" w:cs="Arial"/>
          <w:color w:val="000000"/>
          <w:lang w:val="en" w:eastAsia="en-GB"/>
        </w:rPr>
        <w:t>transfers</w:t>
      </w:r>
      <w:r w:rsidR="00B832A6">
        <w:rPr>
          <w:rFonts w:ascii="Arial" w:hAnsi="Arial" w:cs="Arial"/>
          <w:color w:val="000000"/>
          <w:lang w:val="en" w:eastAsia="en-GB"/>
        </w:rPr>
        <w:t xml:space="preserve"> involving the EU and other countries. </w:t>
      </w:r>
    </w:p>
    <w:p w14:paraId="4DD4525C" w14:textId="77777777" w:rsidR="00253D77" w:rsidRPr="00253D77" w:rsidRDefault="00253D77" w:rsidP="00253D77">
      <w:pPr>
        <w:shd w:val="clear" w:color="auto" w:fill="FFFFFF"/>
        <w:rPr>
          <w:rFonts w:ascii="Arial" w:eastAsiaTheme="minorHAnsi" w:hAnsi="Arial" w:cs="Arial"/>
          <w:color w:val="000000" w:themeColor="text1"/>
        </w:rPr>
      </w:pPr>
    </w:p>
    <w:p w14:paraId="574AF32A" w14:textId="3D99957F" w:rsidR="000B0257" w:rsidRDefault="007A585D" w:rsidP="007A585D">
      <w:pPr>
        <w:shd w:val="clear" w:color="auto" w:fill="FFFFFF"/>
        <w:ind w:left="720" w:hanging="720"/>
        <w:rPr>
          <w:rFonts w:ascii="Arial" w:hAnsi="Arial" w:cs="Arial"/>
        </w:rPr>
      </w:pPr>
      <w:r>
        <w:rPr>
          <w:rFonts w:ascii="Arial" w:hAnsi="Arial" w:cs="Arial"/>
        </w:rPr>
        <w:t>8.</w:t>
      </w:r>
      <w:r w:rsidR="00A10723">
        <w:rPr>
          <w:rFonts w:ascii="Arial" w:hAnsi="Arial" w:cs="Arial"/>
        </w:rPr>
        <w:t>5</w:t>
      </w:r>
      <w:r>
        <w:rPr>
          <w:rFonts w:ascii="Arial" w:hAnsi="Arial" w:cs="Arial"/>
        </w:rPr>
        <w:tab/>
      </w:r>
      <w:r w:rsidR="00991A04">
        <w:rPr>
          <w:rFonts w:ascii="Arial" w:hAnsi="Arial" w:cs="Arial"/>
        </w:rPr>
        <w:t>Altho</w:t>
      </w:r>
      <w:r w:rsidR="000B0257">
        <w:rPr>
          <w:rFonts w:ascii="Arial" w:hAnsi="Arial" w:cs="Arial"/>
        </w:rPr>
        <w:t>u</w:t>
      </w:r>
      <w:r w:rsidR="00991A04">
        <w:rPr>
          <w:rFonts w:ascii="Arial" w:hAnsi="Arial" w:cs="Arial"/>
        </w:rPr>
        <w:t xml:space="preserve">gh the </w:t>
      </w:r>
      <w:r w:rsidR="000B0257">
        <w:rPr>
          <w:rFonts w:ascii="Arial" w:hAnsi="Arial" w:cs="Arial"/>
        </w:rPr>
        <w:t xml:space="preserve">UK Government intends to permit the free flow of data from the UK to the EU after Brexit, it cannot compel </w:t>
      </w:r>
      <w:r w:rsidR="00212CEB">
        <w:rPr>
          <w:rFonts w:ascii="Arial" w:hAnsi="Arial" w:cs="Arial"/>
        </w:rPr>
        <w:t>EU Member States.to do the same.</w:t>
      </w:r>
    </w:p>
    <w:p w14:paraId="45497FD1" w14:textId="5BBFFA14" w:rsidR="000B0257" w:rsidRDefault="000B0257" w:rsidP="00212CEB">
      <w:pPr>
        <w:shd w:val="clear" w:color="auto" w:fill="FFFFFF"/>
        <w:tabs>
          <w:tab w:val="left" w:pos="6615"/>
        </w:tabs>
        <w:rPr>
          <w:rFonts w:ascii="Arial" w:hAnsi="Arial" w:cs="Arial"/>
        </w:rPr>
      </w:pPr>
    </w:p>
    <w:p w14:paraId="1FCB3568" w14:textId="7447EC73" w:rsidR="000B0257" w:rsidRDefault="007A585D" w:rsidP="007A585D">
      <w:pPr>
        <w:shd w:val="clear" w:color="auto" w:fill="FFFFFF"/>
        <w:ind w:left="720" w:hanging="720"/>
        <w:rPr>
          <w:rFonts w:ascii="Arial" w:hAnsi="Arial" w:cs="Arial"/>
        </w:rPr>
      </w:pPr>
      <w:r>
        <w:rPr>
          <w:rFonts w:ascii="Arial" w:hAnsi="Arial" w:cs="Arial"/>
        </w:rPr>
        <w:t>8.</w:t>
      </w:r>
      <w:r w:rsidR="00A10723">
        <w:rPr>
          <w:rFonts w:ascii="Arial" w:hAnsi="Arial" w:cs="Arial"/>
        </w:rPr>
        <w:t>6</w:t>
      </w:r>
      <w:r>
        <w:rPr>
          <w:rFonts w:ascii="Arial" w:hAnsi="Arial" w:cs="Arial"/>
        </w:rPr>
        <w:tab/>
      </w:r>
      <w:r w:rsidR="000B0257">
        <w:rPr>
          <w:rFonts w:ascii="Arial" w:hAnsi="Arial" w:cs="Arial"/>
        </w:rPr>
        <w:t xml:space="preserve">Whilst this is likely to impact the commercial sector most and it is unlikely that Councils are involved in processing </w:t>
      </w:r>
      <w:r w:rsidR="00A10723">
        <w:rPr>
          <w:rFonts w:ascii="Arial" w:hAnsi="Arial" w:cs="Arial"/>
        </w:rPr>
        <w:t xml:space="preserve">data relating to </w:t>
      </w:r>
      <w:r w:rsidR="000B0257">
        <w:rPr>
          <w:rFonts w:ascii="Arial" w:hAnsi="Arial" w:cs="Arial"/>
        </w:rPr>
        <w:t>EU citizen</w:t>
      </w:r>
      <w:r w:rsidR="00A10723">
        <w:rPr>
          <w:rFonts w:ascii="Arial" w:hAnsi="Arial" w:cs="Arial"/>
        </w:rPr>
        <w:t xml:space="preserve">s or monitoring their behaviour, </w:t>
      </w:r>
      <w:r w:rsidR="000B0257">
        <w:rPr>
          <w:rFonts w:ascii="Arial" w:hAnsi="Arial" w:cs="Arial"/>
        </w:rPr>
        <w:t xml:space="preserve">if councils use cloud based processors with physical servers located in the EU this </w:t>
      </w:r>
      <w:r w:rsidR="001D7334">
        <w:rPr>
          <w:rFonts w:ascii="Arial" w:hAnsi="Arial" w:cs="Arial"/>
        </w:rPr>
        <w:t xml:space="preserve">could prompt </w:t>
      </w:r>
      <w:r w:rsidR="000B0257">
        <w:rPr>
          <w:rFonts w:ascii="Arial" w:hAnsi="Arial" w:cs="Arial"/>
        </w:rPr>
        <w:t>requests for contractual modifications/variations from EU based data processors.</w:t>
      </w:r>
    </w:p>
    <w:p w14:paraId="7A0F600D" w14:textId="77777777" w:rsidR="00B832A6" w:rsidRDefault="00B832A6" w:rsidP="001D7A26">
      <w:pPr>
        <w:shd w:val="clear" w:color="auto" w:fill="FFFFFF"/>
        <w:rPr>
          <w:rFonts w:ascii="Arial" w:hAnsi="Arial" w:cs="Arial"/>
        </w:rPr>
      </w:pPr>
    </w:p>
    <w:p w14:paraId="0FDAEDE5" w14:textId="34F02F69" w:rsidR="00B832A6" w:rsidRDefault="007A585D" w:rsidP="007A585D">
      <w:pPr>
        <w:shd w:val="clear" w:color="auto" w:fill="FFFFFF"/>
        <w:ind w:left="720" w:hanging="720"/>
        <w:rPr>
          <w:rFonts w:ascii="Arial" w:hAnsi="Arial" w:cs="Arial"/>
        </w:rPr>
      </w:pPr>
      <w:r>
        <w:rPr>
          <w:rFonts w:ascii="Arial" w:hAnsi="Arial" w:cs="Arial"/>
        </w:rPr>
        <w:t>8.</w:t>
      </w:r>
      <w:r w:rsidR="00A10723">
        <w:rPr>
          <w:rFonts w:ascii="Arial" w:hAnsi="Arial" w:cs="Arial"/>
        </w:rPr>
        <w:t>7</w:t>
      </w:r>
      <w:r>
        <w:rPr>
          <w:rFonts w:ascii="Arial" w:hAnsi="Arial" w:cs="Arial"/>
        </w:rPr>
        <w:tab/>
      </w:r>
      <w:r w:rsidR="00A10723">
        <w:rPr>
          <w:rFonts w:ascii="Arial" w:hAnsi="Arial" w:cs="Arial"/>
        </w:rPr>
        <w:t>A</w:t>
      </w:r>
      <w:r w:rsidR="005056BA">
        <w:rPr>
          <w:rFonts w:ascii="Arial" w:hAnsi="Arial" w:cs="Arial"/>
        </w:rPr>
        <w:t xml:space="preserve">fter </w:t>
      </w:r>
      <w:r w:rsidR="00EC2D83">
        <w:rPr>
          <w:rFonts w:ascii="Arial" w:hAnsi="Arial" w:cs="Arial"/>
        </w:rPr>
        <w:t xml:space="preserve">the </w:t>
      </w:r>
      <w:r w:rsidR="00A10723">
        <w:rPr>
          <w:rFonts w:ascii="Arial" w:hAnsi="Arial" w:cs="Arial"/>
        </w:rPr>
        <w:t>E</w:t>
      </w:r>
      <w:r w:rsidR="005056BA">
        <w:rPr>
          <w:rFonts w:ascii="Arial" w:hAnsi="Arial" w:cs="Arial"/>
        </w:rPr>
        <w:t>xit</w:t>
      </w:r>
      <w:r w:rsidR="003979A9">
        <w:rPr>
          <w:rFonts w:ascii="Arial" w:hAnsi="Arial" w:cs="Arial"/>
        </w:rPr>
        <w:t xml:space="preserve"> Day</w:t>
      </w:r>
      <w:r w:rsidR="001D7334">
        <w:rPr>
          <w:rFonts w:ascii="Arial" w:hAnsi="Arial" w:cs="Arial"/>
        </w:rPr>
        <w:t>,</w:t>
      </w:r>
      <w:r w:rsidR="005056BA">
        <w:rPr>
          <w:rFonts w:ascii="Arial" w:hAnsi="Arial" w:cs="Arial"/>
        </w:rPr>
        <w:t xml:space="preserve"> </w:t>
      </w:r>
      <w:r w:rsidR="00B832A6">
        <w:rPr>
          <w:rFonts w:ascii="Arial" w:hAnsi="Arial" w:cs="Arial"/>
        </w:rPr>
        <w:t xml:space="preserve">data transfers from the UK to non EU countries, including those now covered by the EU adequacy agreements </w:t>
      </w:r>
      <w:r w:rsidR="007B5BCE">
        <w:rPr>
          <w:rFonts w:ascii="Arial" w:hAnsi="Arial" w:cs="Arial"/>
        </w:rPr>
        <w:t xml:space="preserve">(including </w:t>
      </w:r>
      <w:r w:rsidR="00212CEB">
        <w:rPr>
          <w:rFonts w:ascii="Arial" w:hAnsi="Arial" w:cs="Arial"/>
        </w:rPr>
        <w:t xml:space="preserve">the </w:t>
      </w:r>
      <w:r w:rsidR="00B832A6">
        <w:rPr>
          <w:rFonts w:ascii="Arial" w:hAnsi="Arial" w:cs="Arial"/>
        </w:rPr>
        <w:t>EU/US Privacy Shield</w:t>
      </w:r>
      <w:r w:rsidR="007B5BCE">
        <w:rPr>
          <w:rStyle w:val="FootnoteReference"/>
          <w:rFonts w:ascii="Arial" w:hAnsi="Arial" w:cs="Arial"/>
        </w:rPr>
        <w:footnoteReference w:id="17"/>
      </w:r>
      <w:r w:rsidR="007B5BCE">
        <w:rPr>
          <w:rFonts w:ascii="Arial" w:hAnsi="Arial" w:cs="Arial"/>
        </w:rPr>
        <w:t>)</w:t>
      </w:r>
      <w:r w:rsidR="00B832A6">
        <w:rPr>
          <w:rFonts w:ascii="Arial" w:hAnsi="Arial" w:cs="Arial"/>
        </w:rPr>
        <w:t xml:space="preserve">, </w:t>
      </w:r>
      <w:r w:rsidR="00B65922">
        <w:rPr>
          <w:rFonts w:ascii="Arial" w:hAnsi="Arial" w:cs="Arial"/>
        </w:rPr>
        <w:t xml:space="preserve">will </w:t>
      </w:r>
      <w:r w:rsidR="00B832A6">
        <w:rPr>
          <w:rFonts w:ascii="Arial" w:hAnsi="Arial" w:cs="Arial"/>
        </w:rPr>
        <w:t xml:space="preserve">be subject to </w:t>
      </w:r>
      <w:r w:rsidR="00A10723">
        <w:rPr>
          <w:rFonts w:ascii="Arial" w:hAnsi="Arial" w:cs="Arial"/>
        </w:rPr>
        <w:t xml:space="preserve">new </w:t>
      </w:r>
      <w:r w:rsidR="00B832A6">
        <w:rPr>
          <w:rFonts w:ascii="Arial" w:hAnsi="Arial" w:cs="Arial"/>
        </w:rPr>
        <w:t xml:space="preserve">UK GDPR </w:t>
      </w:r>
      <w:r w:rsidR="00A10723">
        <w:rPr>
          <w:rFonts w:ascii="Arial" w:hAnsi="Arial" w:cs="Arial"/>
        </w:rPr>
        <w:t>data transfer and documentation requirements</w:t>
      </w:r>
      <w:r w:rsidR="006B722F">
        <w:rPr>
          <w:rFonts w:ascii="Arial" w:hAnsi="Arial" w:cs="Arial"/>
        </w:rPr>
        <w:t>.</w:t>
      </w:r>
    </w:p>
    <w:p w14:paraId="5DC0A2E7" w14:textId="0D344D71" w:rsidR="00B832A6" w:rsidRPr="00B832A6" w:rsidRDefault="00B832A6" w:rsidP="00B832A6">
      <w:pPr>
        <w:shd w:val="clear" w:color="auto" w:fill="FFFFFF"/>
        <w:rPr>
          <w:rFonts w:ascii="Arial" w:eastAsiaTheme="minorHAnsi" w:hAnsi="Arial" w:cs="Arial"/>
          <w:i/>
          <w:color w:val="000000" w:themeColor="text1"/>
        </w:rPr>
      </w:pPr>
    </w:p>
    <w:p w14:paraId="3591545E" w14:textId="62F4EB48" w:rsidR="000B0257" w:rsidRDefault="007A585D" w:rsidP="007A585D">
      <w:pPr>
        <w:shd w:val="clear" w:color="auto" w:fill="FFFFFF"/>
        <w:ind w:left="720" w:hanging="720"/>
        <w:rPr>
          <w:rFonts w:ascii="Arial" w:hAnsi="Arial" w:cs="Arial"/>
        </w:rPr>
      </w:pPr>
      <w:r>
        <w:rPr>
          <w:rFonts w:ascii="Arial" w:hAnsi="Arial" w:cs="Arial"/>
        </w:rPr>
        <w:t>8.</w:t>
      </w:r>
      <w:r w:rsidR="00A10723">
        <w:rPr>
          <w:rFonts w:ascii="Arial" w:hAnsi="Arial" w:cs="Arial"/>
        </w:rPr>
        <w:t>8</w:t>
      </w:r>
      <w:r>
        <w:rPr>
          <w:rFonts w:ascii="Arial" w:hAnsi="Arial" w:cs="Arial"/>
        </w:rPr>
        <w:tab/>
      </w:r>
      <w:r w:rsidR="000B0257">
        <w:rPr>
          <w:rFonts w:ascii="Arial" w:hAnsi="Arial" w:cs="Arial"/>
        </w:rPr>
        <w:t xml:space="preserve">The ICO </w:t>
      </w:r>
      <w:r w:rsidR="00B832A6">
        <w:rPr>
          <w:rFonts w:ascii="Arial" w:hAnsi="Arial" w:cs="Arial"/>
        </w:rPr>
        <w:t xml:space="preserve">therefore </w:t>
      </w:r>
      <w:r w:rsidR="000B0257">
        <w:rPr>
          <w:rFonts w:ascii="Arial" w:hAnsi="Arial" w:cs="Arial"/>
        </w:rPr>
        <w:t xml:space="preserve">recommends that </w:t>
      </w:r>
      <w:r w:rsidR="000B0257" w:rsidRPr="00B832A6">
        <w:rPr>
          <w:rFonts w:ascii="Arial" w:hAnsi="Arial" w:cs="Arial"/>
        </w:rPr>
        <w:t xml:space="preserve">in preparing for the possibility of ‘no deal’ organisations urgently </w:t>
      </w:r>
      <w:r w:rsidR="007B5BCE">
        <w:rPr>
          <w:rFonts w:ascii="Arial" w:hAnsi="Arial" w:cs="Arial"/>
        </w:rPr>
        <w:t>identify (</w:t>
      </w:r>
      <w:r w:rsidR="000B0257" w:rsidRPr="00B832A6">
        <w:rPr>
          <w:rFonts w:ascii="Arial" w:hAnsi="Arial" w:cs="Arial"/>
        </w:rPr>
        <w:t>via information audits) what if any personal information is now</w:t>
      </w:r>
      <w:r w:rsidR="00B65922">
        <w:rPr>
          <w:rFonts w:ascii="Arial" w:hAnsi="Arial" w:cs="Arial"/>
        </w:rPr>
        <w:t xml:space="preserve"> regularly</w:t>
      </w:r>
      <w:r w:rsidR="00B832A6" w:rsidRPr="00B832A6">
        <w:rPr>
          <w:rFonts w:ascii="Arial" w:hAnsi="Arial" w:cs="Arial"/>
        </w:rPr>
        <w:t>:</w:t>
      </w:r>
      <w:r w:rsidR="000B0257" w:rsidRPr="00B832A6">
        <w:rPr>
          <w:rFonts w:ascii="Arial" w:hAnsi="Arial" w:cs="Arial"/>
        </w:rPr>
        <w:t xml:space="preserve"> </w:t>
      </w:r>
    </w:p>
    <w:p w14:paraId="3F94B111" w14:textId="77777777" w:rsidR="007B5BCE" w:rsidRDefault="007B5BCE" w:rsidP="00B832A6">
      <w:pPr>
        <w:shd w:val="clear" w:color="auto" w:fill="FFFFFF"/>
        <w:rPr>
          <w:rFonts w:ascii="Arial" w:hAnsi="Arial" w:cs="Arial"/>
        </w:rPr>
      </w:pPr>
    </w:p>
    <w:p w14:paraId="3AE9FB42" w14:textId="123FA200" w:rsidR="00025E3B" w:rsidRPr="007B5BCE" w:rsidRDefault="007B5BCE" w:rsidP="007A585D">
      <w:pPr>
        <w:pStyle w:val="ListParagraph"/>
        <w:numPr>
          <w:ilvl w:val="0"/>
          <w:numId w:val="16"/>
        </w:numPr>
        <w:shd w:val="clear" w:color="auto" w:fill="FFFFFF"/>
        <w:rPr>
          <w:rStyle w:val="Strong"/>
          <w:rFonts w:ascii="Arial" w:hAnsi="Arial" w:cs="Arial"/>
          <w:b w:val="0"/>
          <w:lang w:val="en"/>
        </w:rPr>
      </w:pPr>
      <w:r w:rsidRPr="007B5BCE">
        <w:rPr>
          <w:rStyle w:val="Strong"/>
          <w:rFonts w:ascii="Arial" w:hAnsi="Arial" w:cs="Arial"/>
          <w:b w:val="0"/>
          <w:lang w:val="en"/>
        </w:rPr>
        <w:t xml:space="preserve">sent outside </w:t>
      </w:r>
      <w:r w:rsidR="00025E3B" w:rsidRPr="007B5BCE">
        <w:rPr>
          <w:rStyle w:val="Strong"/>
          <w:rFonts w:ascii="Arial" w:hAnsi="Arial" w:cs="Arial"/>
          <w:b w:val="0"/>
          <w:lang w:val="en"/>
        </w:rPr>
        <w:t>the UK; or</w:t>
      </w:r>
    </w:p>
    <w:p w14:paraId="3D58E865" w14:textId="11A47D29" w:rsidR="00025E3B" w:rsidRPr="007B5BCE" w:rsidRDefault="007B5BCE" w:rsidP="007A585D">
      <w:pPr>
        <w:pStyle w:val="ListParagraph"/>
        <w:numPr>
          <w:ilvl w:val="0"/>
          <w:numId w:val="16"/>
        </w:numPr>
        <w:shd w:val="clear" w:color="auto" w:fill="FFFFFF"/>
        <w:rPr>
          <w:rStyle w:val="Strong"/>
          <w:rFonts w:ascii="Arial" w:hAnsi="Arial" w:cs="Arial"/>
          <w:b w:val="0"/>
          <w:lang w:val="en"/>
        </w:rPr>
      </w:pPr>
      <w:r w:rsidRPr="007B5BCE">
        <w:rPr>
          <w:rStyle w:val="Strong"/>
          <w:rFonts w:ascii="Arial" w:hAnsi="Arial" w:cs="Arial"/>
          <w:b w:val="0"/>
          <w:lang w:val="en"/>
        </w:rPr>
        <w:t xml:space="preserve">received </w:t>
      </w:r>
      <w:r w:rsidR="00025E3B" w:rsidRPr="007B5BCE">
        <w:rPr>
          <w:rStyle w:val="Strong"/>
          <w:rFonts w:ascii="Arial" w:hAnsi="Arial" w:cs="Arial"/>
          <w:b w:val="0"/>
          <w:lang w:val="en"/>
        </w:rPr>
        <w:t>from the EEA; or</w:t>
      </w:r>
    </w:p>
    <w:p w14:paraId="16D8473B" w14:textId="030C4520" w:rsidR="00025E3B" w:rsidRPr="007B5BCE" w:rsidRDefault="007B5BCE" w:rsidP="007A585D">
      <w:pPr>
        <w:pStyle w:val="ListParagraph"/>
        <w:numPr>
          <w:ilvl w:val="0"/>
          <w:numId w:val="16"/>
        </w:numPr>
        <w:shd w:val="clear" w:color="auto" w:fill="FFFFFF"/>
        <w:rPr>
          <w:rFonts w:ascii="Arial" w:hAnsi="Arial" w:cs="Arial"/>
          <w:b/>
          <w:lang w:val="en"/>
        </w:rPr>
      </w:pPr>
      <w:r w:rsidRPr="007B5BCE">
        <w:rPr>
          <w:rStyle w:val="Strong"/>
          <w:rFonts w:ascii="Arial" w:hAnsi="Arial" w:cs="Arial"/>
          <w:b w:val="0"/>
          <w:lang w:val="en"/>
        </w:rPr>
        <w:t xml:space="preserve">received </w:t>
      </w:r>
      <w:r w:rsidR="00025E3B" w:rsidRPr="007B5BCE">
        <w:rPr>
          <w:rStyle w:val="Strong"/>
          <w:rFonts w:ascii="Arial" w:hAnsi="Arial" w:cs="Arial"/>
          <w:b w:val="0"/>
          <w:lang w:val="en"/>
        </w:rPr>
        <w:t xml:space="preserve">from countries or territories which are </w:t>
      </w:r>
      <w:r w:rsidRPr="007B5BCE">
        <w:rPr>
          <w:rStyle w:val="Strong"/>
          <w:rFonts w:ascii="Arial" w:hAnsi="Arial" w:cs="Arial"/>
          <w:b w:val="0"/>
          <w:lang w:val="en"/>
        </w:rPr>
        <w:t xml:space="preserve">now </w:t>
      </w:r>
      <w:r w:rsidR="00025E3B" w:rsidRPr="007B5BCE">
        <w:rPr>
          <w:rStyle w:val="Strong"/>
          <w:rFonts w:ascii="Arial" w:hAnsi="Arial" w:cs="Arial"/>
          <w:b w:val="0"/>
          <w:lang w:val="en"/>
        </w:rPr>
        <w:t>covered by an</w:t>
      </w:r>
      <w:r w:rsidRPr="007B5BCE">
        <w:rPr>
          <w:rStyle w:val="Strong"/>
          <w:rFonts w:ascii="Arial" w:hAnsi="Arial" w:cs="Arial"/>
          <w:b w:val="0"/>
          <w:lang w:val="en"/>
        </w:rPr>
        <w:t xml:space="preserve"> EU</w:t>
      </w:r>
      <w:r w:rsidR="00025E3B" w:rsidRPr="007B5BCE">
        <w:rPr>
          <w:rStyle w:val="Strong"/>
          <w:rFonts w:ascii="Arial" w:hAnsi="Arial" w:cs="Arial"/>
          <w:b w:val="0"/>
          <w:lang w:val="en"/>
        </w:rPr>
        <w:t xml:space="preserve"> adequacy decision</w:t>
      </w:r>
    </w:p>
    <w:p w14:paraId="7C5A4D95" w14:textId="77777777" w:rsidR="00B832A6" w:rsidRDefault="00B832A6" w:rsidP="001D7A26">
      <w:pPr>
        <w:shd w:val="clear" w:color="auto" w:fill="FFFFFF"/>
        <w:rPr>
          <w:rFonts w:ascii="Arial" w:hAnsi="Arial" w:cs="Arial"/>
        </w:rPr>
      </w:pPr>
    </w:p>
    <w:p w14:paraId="2E674390" w14:textId="6E473331" w:rsidR="007B5BCE" w:rsidRDefault="007B5BCE" w:rsidP="007B5BCE">
      <w:pPr>
        <w:shd w:val="clear" w:color="auto" w:fill="FFFFFF"/>
        <w:tabs>
          <w:tab w:val="left" w:pos="1050"/>
        </w:tabs>
        <w:rPr>
          <w:rFonts w:ascii="Verdana" w:hAnsi="Verdana" w:cs="Arial"/>
          <w:color w:val="4472C4" w:themeColor="accent5"/>
          <w:sz w:val="23"/>
          <w:szCs w:val="23"/>
          <w:lang w:val="en"/>
        </w:rPr>
      </w:pPr>
    </w:p>
    <w:p w14:paraId="7512F4AD" w14:textId="3BBEE30E" w:rsidR="001D7A26" w:rsidRDefault="007A585D" w:rsidP="001D7A26">
      <w:pPr>
        <w:shd w:val="clear" w:color="auto" w:fill="FFFFFF"/>
        <w:rPr>
          <w:rFonts w:ascii="Arial" w:hAnsi="Arial" w:cs="Arial"/>
          <w:b/>
        </w:rPr>
      </w:pPr>
      <w:r>
        <w:rPr>
          <w:rFonts w:ascii="Arial" w:hAnsi="Arial" w:cs="Arial"/>
          <w:b/>
        </w:rPr>
        <w:t>9.0</w:t>
      </w:r>
      <w:r>
        <w:rPr>
          <w:rFonts w:ascii="Arial" w:hAnsi="Arial" w:cs="Arial"/>
          <w:b/>
        </w:rPr>
        <w:tab/>
      </w:r>
      <w:r w:rsidR="00212CEB" w:rsidRPr="00212CEB">
        <w:rPr>
          <w:rFonts w:ascii="Arial" w:hAnsi="Arial" w:cs="Arial"/>
          <w:b/>
        </w:rPr>
        <w:t xml:space="preserve">Conclusion </w:t>
      </w:r>
    </w:p>
    <w:p w14:paraId="160DBEE5" w14:textId="77777777" w:rsidR="00212CEB" w:rsidRDefault="00212CEB" w:rsidP="001D7A26">
      <w:pPr>
        <w:shd w:val="clear" w:color="auto" w:fill="FFFFFF"/>
        <w:rPr>
          <w:rFonts w:ascii="Arial" w:hAnsi="Arial" w:cs="Arial"/>
          <w:b/>
        </w:rPr>
      </w:pPr>
    </w:p>
    <w:p w14:paraId="63603573" w14:textId="7D579E6A" w:rsidR="005F7911" w:rsidRDefault="007A585D" w:rsidP="006B722F">
      <w:pPr>
        <w:autoSpaceDE w:val="0"/>
        <w:autoSpaceDN w:val="0"/>
        <w:adjustRightInd w:val="0"/>
        <w:ind w:left="720" w:hanging="720"/>
        <w:rPr>
          <w:rFonts w:ascii="Arial" w:eastAsia="MS Mincho" w:hAnsi="Arial" w:cs="Arial"/>
          <w:color w:val="000000"/>
          <w:lang w:eastAsia="ja-JP"/>
        </w:rPr>
      </w:pPr>
      <w:r>
        <w:rPr>
          <w:rFonts w:ascii="Arial" w:eastAsia="MS Mincho" w:hAnsi="Arial" w:cs="Arial"/>
          <w:color w:val="000000"/>
          <w:lang w:eastAsia="ja-JP"/>
        </w:rPr>
        <w:t>9.1</w:t>
      </w:r>
      <w:r>
        <w:rPr>
          <w:rFonts w:ascii="Arial" w:eastAsia="MS Mincho" w:hAnsi="Arial" w:cs="Arial"/>
          <w:color w:val="000000"/>
          <w:lang w:eastAsia="ja-JP"/>
        </w:rPr>
        <w:tab/>
      </w:r>
      <w:r w:rsidR="006B722F">
        <w:rPr>
          <w:rFonts w:ascii="Arial" w:eastAsia="MS Mincho" w:hAnsi="Arial" w:cs="Arial"/>
          <w:color w:val="000000"/>
          <w:lang w:eastAsia="ja-JP"/>
        </w:rPr>
        <w:t xml:space="preserve">Once the UK leaves the EU, consequential changes will need to be made to the </w:t>
      </w:r>
      <w:r w:rsidR="00EC2D83">
        <w:rPr>
          <w:rFonts w:ascii="Arial" w:eastAsia="MS Mincho" w:hAnsi="Arial" w:cs="Arial"/>
          <w:color w:val="000000"/>
          <w:lang w:eastAsia="ja-JP"/>
        </w:rPr>
        <w:t xml:space="preserve">EU derived </w:t>
      </w:r>
      <w:r w:rsidR="006B722F">
        <w:rPr>
          <w:rFonts w:ascii="Arial" w:eastAsia="MS Mincho" w:hAnsi="Arial" w:cs="Arial"/>
          <w:color w:val="000000"/>
          <w:lang w:eastAsia="ja-JP"/>
        </w:rPr>
        <w:t>GDPR</w:t>
      </w:r>
      <w:r w:rsidR="005F7911">
        <w:rPr>
          <w:rFonts w:ascii="Arial" w:eastAsia="MS Mincho" w:hAnsi="Arial" w:cs="Arial"/>
          <w:color w:val="000000"/>
          <w:lang w:eastAsia="ja-JP"/>
        </w:rPr>
        <w:t xml:space="preserve">. These will either be implemented at the end of March or whenever any transitional period ends. </w:t>
      </w:r>
    </w:p>
    <w:p w14:paraId="06C926D4" w14:textId="77777777" w:rsidR="005F7911" w:rsidRDefault="005F7911" w:rsidP="006B722F">
      <w:pPr>
        <w:autoSpaceDE w:val="0"/>
        <w:autoSpaceDN w:val="0"/>
        <w:adjustRightInd w:val="0"/>
        <w:ind w:left="720" w:hanging="720"/>
        <w:rPr>
          <w:rFonts w:ascii="Arial" w:eastAsia="MS Mincho" w:hAnsi="Arial" w:cs="Arial"/>
          <w:color w:val="000000"/>
          <w:lang w:eastAsia="ja-JP"/>
        </w:rPr>
      </w:pPr>
    </w:p>
    <w:p w14:paraId="34A42CDE" w14:textId="25CD455A" w:rsidR="005F7911" w:rsidRDefault="005F7911" w:rsidP="006B722F">
      <w:pPr>
        <w:autoSpaceDE w:val="0"/>
        <w:autoSpaceDN w:val="0"/>
        <w:adjustRightInd w:val="0"/>
        <w:ind w:left="720" w:hanging="720"/>
        <w:rPr>
          <w:rFonts w:ascii="Arial" w:eastAsia="MS Mincho" w:hAnsi="Arial" w:cs="Arial"/>
          <w:color w:val="000000"/>
          <w:lang w:eastAsia="ja-JP"/>
        </w:rPr>
      </w:pPr>
      <w:r>
        <w:rPr>
          <w:rFonts w:ascii="Arial" w:eastAsia="MS Mincho" w:hAnsi="Arial" w:cs="Arial"/>
          <w:color w:val="000000"/>
          <w:lang w:eastAsia="ja-JP"/>
        </w:rPr>
        <w:t>9.2</w:t>
      </w:r>
      <w:r>
        <w:rPr>
          <w:rFonts w:ascii="Arial" w:eastAsia="MS Mincho" w:hAnsi="Arial" w:cs="Arial"/>
          <w:color w:val="000000"/>
          <w:lang w:eastAsia="ja-JP"/>
        </w:rPr>
        <w:tab/>
        <w:t xml:space="preserve">This will clearly impact business and the commercial sector more than local authorities. </w:t>
      </w:r>
    </w:p>
    <w:p w14:paraId="2E21DCD4" w14:textId="77777777" w:rsidR="005F7911" w:rsidRDefault="005F7911" w:rsidP="006B722F">
      <w:pPr>
        <w:autoSpaceDE w:val="0"/>
        <w:autoSpaceDN w:val="0"/>
        <w:adjustRightInd w:val="0"/>
        <w:ind w:left="720" w:hanging="720"/>
        <w:rPr>
          <w:rFonts w:ascii="Arial" w:eastAsia="MS Mincho" w:hAnsi="Arial" w:cs="Arial"/>
          <w:color w:val="000000"/>
          <w:lang w:eastAsia="ja-JP"/>
        </w:rPr>
      </w:pPr>
    </w:p>
    <w:p w14:paraId="3EBDA598" w14:textId="523FCC7B" w:rsidR="009A2BE1" w:rsidRDefault="005F7911" w:rsidP="005F7911">
      <w:pPr>
        <w:autoSpaceDE w:val="0"/>
        <w:autoSpaceDN w:val="0"/>
        <w:adjustRightInd w:val="0"/>
        <w:ind w:left="720" w:hanging="720"/>
        <w:rPr>
          <w:rFonts w:ascii="Arial" w:eastAsia="MS Mincho" w:hAnsi="Arial" w:cs="Arial"/>
          <w:color w:val="000000"/>
          <w:lang w:eastAsia="ja-JP"/>
        </w:rPr>
      </w:pPr>
      <w:r>
        <w:rPr>
          <w:rFonts w:ascii="Arial" w:eastAsia="MS Mincho" w:hAnsi="Arial" w:cs="Arial"/>
          <w:color w:val="000000"/>
          <w:lang w:eastAsia="ja-JP"/>
        </w:rPr>
        <w:t>9.3</w:t>
      </w:r>
      <w:r>
        <w:rPr>
          <w:rFonts w:ascii="Arial" w:eastAsia="MS Mincho" w:hAnsi="Arial" w:cs="Arial"/>
          <w:color w:val="000000"/>
          <w:lang w:eastAsia="ja-JP"/>
        </w:rPr>
        <w:tab/>
      </w:r>
      <w:r w:rsidR="009A2BE1">
        <w:rPr>
          <w:rFonts w:ascii="Arial" w:eastAsia="MS Mincho" w:hAnsi="Arial" w:cs="Arial"/>
          <w:color w:val="000000"/>
          <w:lang w:eastAsia="ja-JP"/>
        </w:rPr>
        <w:t>The timing and speed of any changes will depend on decisions yet to be made by Parliament in the next week or so.</w:t>
      </w:r>
    </w:p>
    <w:p w14:paraId="27D7E864" w14:textId="77777777" w:rsidR="009A2BE1" w:rsidRDefault="009A2BE1" w:rsidP="005F7911">
      <w:pPr>
        <w:autoSpaceDE w:val="0"/>
        <w:autoSpaceDN w:val="0"/>
        <w:adjustRightInd w:val="0"/>
        <w:ind w:left="720" w:hanging="720"/>
        <w:rPr>
          <w:rFonts w:ascii="Arial" w:eastAsia="MS Mincho" w:hAnsi="Arial" w:cs="Arial"/>
          <w:color w:val="000000"/>
          <w:lang w:eastAsia="ja-JP"/>
        </w:rPr>
      </w:pPr>
    </w:p>
    <w:p w14:paraId="6A030CD3" w14:textId="6F0A9E7E" w:rsidR="009A2BE1" w:rsidRDefault="009A2BE1" w:rsidP="005F7911">
      <w:pPr>
        <w:autoSpaceDE w:val="0"/>
        <w:autoSpaceDN w:val="0"/>
        <w:adjustRightInd w:val="0"/>
        <w:ind w:left="720" w:hanging="720"/>
        <w:rPr>
          <w:rFonts w:ascii="Arial" w:eastAsia="MS Mincho" w:hAnsi="Arial" w:cs="Arial"/>
          <w:color w:val="000000"/>
          <w:lang w:eastAsia="ja-JP"/>
        </w:rPr>
      </w:pPr>
      <w:r>
        <w:rPr>
          <w:rFonts w:ascii="Arial" w:eastAsia="MS Mincho" w:hAnsi="Arial" w:cs="Arial"/>
          <w:color w:val="000000"/>
          <w:lang w:eastAsia="ja-JP"/>
        </w:rPr>
        <w:t>9.4</w:t>
      </w:r>
      <w:r>
        <w:rPr>
          <w:rFonts w:ascii="Arial" w:eastAsia="MS Mincho" w:hAnsi="Arial" w:cs="Arial"/>
          <w:color w:val="000000"/>
          <w:lang w:eastAsia="ja-JP"/>
        </w:rPr>
        <w:tab/>
        <w:t>If the UK leaves the EU by the end of March 2019, as a minimum local Councils will need to:</w:t>
      </w:r>
    </w:p>
    <w:p w14:paraId="0F04D5C4" w14:textId="77777777" w:rsidR="009A2BE1" w:rsidRDefault="009A2BE1" w:rsidP="005F7911">
      <w:pPr>
        <w:autoSpaceDE w:val="0"/>
        <w:autoSpaceDN w:val="0"/>
        <w:adjustRightInd w:val="0"/>
        <w:ind w:left="720" w:hanging="720"/>
        <w:rPr>
          <w:rFonts w:ascii="Arial" w:eastAsia="MS Mincho" w:hAnsi="Arial" w:cs="Arial"/>
          <w:color w:val="000000"/>
          <w:lang w:eastAsia="ja-JP"/>
        </w:rPr>
      </w:pPr>
    </w:p>
    <w:p w14:paraId="46813A10" w14:textId="5EA48BDD" w:rsidR="009A2BE1" w:rsidRDefault="00C018AA" w:rsidP="009A2BE1">
      <w:pPr>
        <w:pStyle w:val="ListParagraph"/>
        <w:numPr>
          <w:ilvl w:val="0"/>
          <w:numId w:val="28"/>
        </w:numPr>
        <w:autoSpaceDE w:val="0"/>
        <w:autoSpaceDN w:val="0"/>
        <w:adjustRightInd w:val="0"/>
        <w:rPr>
          <w:rFonts w:ascii="Arial" w:hAnsi="Arial" w:cs="Arial"/>
        </w:rPr>
      </w:pPr>
      <w:r>
        <w:rPr>
          <w:rFonts w:ascii="Arial" w:eastAsia="MS Mincho" w:hAnsi="Arial" w:cs="Arial"/>
          <w:color w:val="000000"/>
          <w:lang w:eastAsia="ja-JP"/>
        </w:rPr>
        <w:t xml:space="preserve">review </w:t>
      </w:r>
      <w:r w:rsidR="009A2BE1" w:rsidRPr="009A2BE1">
        <w:rPr>
          <w:rFonts w:ascii="Arial" w:eastAsia="MS Mincho" w:hAnsi="Arial" w:cs="Arial"/>
          <w:color w:val="000000"/>
          <w:lang w:eastAsia="ja-JP"/>
        </w:rPr>
        <w:t xml:space="preserve">regular data flows and transfers from/to the EEA and other countries in preparation for </w:t>
      </w:r>
      <w:r w:rsidR="009A2BE1" w:rsidRPr="009A2BE1">
        <w:rPr>
          <w:rFonts w:ascii="Arial" w:hAnsi="Arial" w:cs="Arial"/>
        </w:rPr>
        <w:t>implementing additional transfer documentary requirements necessary to satisfy EU or UK GDPR laws;</w:t>
      </w:r>
    </w:p>
    <w:p w14:paraId="09656747" w14:textId="77777777" w:rsidR="009A2BE1" w:rsidRPr="009A2BE1" w:rsidRDefault="009A2BE1" w:rsidP="009A2BE1">
      <w:pPr>
        <w:autoSpaceDE w:val="0"/>
        <w:autoSpaceDN w:val="0"/>
        <w:adjustRightInd w:val="0"/>
        <w:ind w:left="720"/>
        <w:rPr>
          <w:rFonts w:ascii="Arial" w:hAnsi="Arial" w:cs="Arial"/>
        </w:rPr>
      </w:pPr>
    </w:p>
    <w:p w14:paraId="44B25B4D" w14:textId="25654F75" w:rsidR="009A2BE1" w:rsidRPr="009A2BE1" w:rsidRDefault="00EC2D83" w:rsidP="009A2BE1">
      <w:pPr>
        <w:pStyle w:val="ListParagraph"/>
        <w:numPr>
          <w:ilvl w:val="0"/>
          <w:numId w:val="28"/>
        </w:numPr>
        <w:autoSpaceDE w:val="0"/>
        <w:autoSpaceDN w:val="0"/>
        <w:adjustRightInd w:val="0"/>
        <w:rPr>
          <w:rFonts w:ascii="Arial" w:hAnsi="Arial" w:cs="Arial"/>
        </w:rPr>
      </w:pPr>
      <w:r>
        <w:rPr>
          <w:rFonts w:ascii="Arial" w:hAnsi="Arial" w:cs="Arial"/>
        </w:rPr>
        <w:t xml:space="preserve">review </w:t>
      </w:r>
      <w:r w:rsidR="009A2BE1" w:rsidRPr="009A2BE1">
        <w:rPr>
          <w:rFonts w:ascii="Arial" w:hAnsi="Arial" w:cs="Arial"/>
        </w:rPr>
        <w:t xml:space="preserve">internal communications </w:t>
      </w:r>
      <w:r w:rsidR="00C018AA">
        <w:rPr>
          <w:rFonts w:ascii="Arial" w:hAnsi="Arial" w:cs="Arial"/>
        </w:rPr>
        <w:t>(and internal guidance and training materials) to ensure that those who need to know are made aware of the changes to UK data protection law and the reasons for this;</w:t>
      </w:r>
    </w:p>
    <w:p w14:paraId="2B989AFB" w14:textId="77777777" w:rsidR="009A2BE1" w:rsidRPr="00C018AA" w:rsidRDefault="009A2BE1" w:rsidP="00C018AA">
      <w:pPr>
        <w:autoSpaceDE w:val="0"/>
        <w:autoSpaceDN w:val="0"/>
        <w:adjustRightInd w:val="0"/>
        <w:ind w:left="720"/>
        <w:rPr>
          <w:rFonts w:ascii="Arial" w:hAnsi="Arial" w:cs="Arial"/>
        </w:rPr>
      </w:pPr>
    </w:p>
    <w:p w14:paraId="3BAB8CD7" w14:textId="6C799A36" w:rsidR="009A2BE1" w:rsidRPr="009A2BE1" w:rsidRDefault="00C018AA" w:rsidP="009A2BE1">
      <w:pPr>
        <w:pStyle w:val="ListParagraph"/>
        <w:numPr>
          <w:ilvl w:val="0"/>
          <w:numId w:val="28"/>
        </w:numPr>
        <w:autoSpaceDE w:val="0"/>
        <w:autoSpaceDN w:val="0"/>
        <w:adjustRightInd w:val="0"/>
        <w:rPr>
          <w:rFonts w:ascii="Arial" w:hAnsi="Arial" w:cs="Arial"/>
        </w:rPr>
      </w:pPr>
      <w:r>
        <w:rPr>
          <w:rFonts w:ascii="Arial" w:hAnsi="Arial" w:cs="Arial"/>
        </w:rPr>
        <w:t xml:space="preserve">external </w:t>
      </w:r>
      <w:r w:rsidR="009A2BE1" w:rsidRPr="009A2BE1">
        <w:rPr>
          <w:rFonts w:ascii="Arial" w:hAnsi="Arial" w:cs="Arial"/>
        </w:rPr>
        <w:t xml:space="preserve">privacy </w:t>
      </w:r>
      <w:r>
        <w:rPr>
          <w:rFonts w:ascii="Arial" w:hAnsi="Arial" w:cs="Arial"/>
        </w:rPr>
        <w:t xml:space="preserve">notices and </w:t>
      </w:r>
      <w:r w:rsidR="009A2BE1" w:rsidRPr="009A2BE1">
        <w:rPr>
          <w:rFonts w:ascii="Arial" w:hAnsi="Arial" w:cs="Arial"/>
        </w:rPr>
        <w:t xml:space="preserve">documentation to ensure </w:t>
      </w:r>
      <w:r>
        <w:rPr>
          <w:rFonts w:ascii="Arial" w:hAnsi="Arial" w:cs="Arial"/>
        </w:rPr>
        <w:t xml:space="preserve">these are </w:t>
      </w:r>
      <w:r w:rsidR="009A2BE1" w:rsidRPr="009A2BE1">
        <w:rPr>
          <w:rFonts w:ascii="Arial" w:hAnsi="Arial" w:cs="Arial"/>
        </w:rPr>
        <w:t xml:space="preserve">consistent with updated UK law on data protection post Brexit; </w:t>
      </w:r>
    </w:p>
    <w:p w14:paraId="3F46F656" w14:textId="77777777" w:rsidR="009A2BE1" w:rsidRDefault="009A2BE1" w:rsidP="009A2BE1">
      <w:pPr>
        <w:autoSpaceDE w:val="0"/>
        <w:autoSpaceDN w:val="0"/>
        <w:adjustRightInd w:val="0"/>
        <w:ind w:left="720"/>
        <w:rPr>
          <w:rFonts w:ascii="Arial" w:hAnsi="Arial" w:cs="Arial"/>
        </w:rPr>
      </w:pPr>
    </w:p>
    <w:p w14:paraId="2065201B" w14:textId="19A912B5" w:rsidR="009A2BE1" w:rsidRDefault="00C018AA" w:rsidP="009A2BE1">
      <w:pPr>
        <w:pStyle w:val="ListParagraph"/>
        <w:numPr>
          <w:ilvl w:val="0"/>
          <w:numId w:val="28"/>
        </w:numPr>
        <w:autoSpaceDE w:val="0"/>
        <w:autoSpaceDN w:val="0"/>
        <w:adjustRightInd w:val="0"/>
        <w:rPr>
          <w:rFonts w:ascii="Arial" w:hAnsi="Arial" w:cs="Arial"/>
        </w:rPr>
      </w:pPr>
      <w:r>
        <w:rPr>
          <w:rFonts w:ascii="Arial" w:hAnsi="Arial" w:cs="Arial"/>
        </w:rPr>
        <w:t>reference</w:t>
      </w:r>
      <w:r w:rsidR="00EC2D83">
        <w:rPr>
          <w:rFonts w:ascii="Arial" w:hAnsi="Arial" w:cs="Arial"/>
        </w:rPr>
        <w:t>/definitions to d</w:t>
      </w:r>
      <w:r w:rsidR="009A2BE1" w:rsidRPr="009A2BE1">
        <w:rPr>
          <w:rFonts w:ascii="Arial" w:hAnsi="Arial" w:cs="Arial"/>
        </w:rPr>
        <w:t>ata protection legislation in contractual and commercial agreements</w:t>
      </w:r>
      <w:r w:rsidR="00EC2D83">
        <w:rPr>
          <w:rFonts w:ascii="Arial" w:hAnsi="Arial" w:cs="Arial"/>
        </w:rPr>
        <w:t xml:space="preserve"> to ensure these are correct</w:t>
      </w:r>
      <w:r w:rsidR="009A2BE1" w:rsidRPr="009A2BE1">
        <w:rPr>
          <w:rFonts w:ascii="Arial" w:hAnsi="Arial" w:cs="Arial"/>
        </w:rPr>
        <w:t>;</w:t>
      </w:r>
    </w:p>
    <w:p w14:paraId="254EFA32" w14:textId="77777777" w:rsidR="00C018AA" w:rsidRPr="00C018AA" w:rsidRDefault="00C018AA" w:rsidP="00C018AA">
      <w:pPr>
        <w:pStyle w:val="ListParagraph"/>
        <w:rPr>
          <w:rFonts w:ascii="Arial" w:hAnsi="Arial" w:cs="Arial"/>
        </w:rPr>
      </w:pPr>
    </w:p>
    <w:p w14:paraId="0F453E22" w14:textId="15F521D0" w:rsidR="009A2BE1" w:rsidRDefault="00C018AA" w:rsidP="005F7911">
      <w:pPr>
        <w:autoSpaceDE w:val="0"/>
        <w:autoSpaceDN w:val="0"/>
        <w:adjustRightInd w:val="0"/>
        <w:ind w:left="720" w:hanging="720"/>
        <w:rPr>
          <w:rFonts w:ascii="Arial" w:eastAsia="MS Mincho" w:hAnsi="Arial" w:cs="Arial"/>
          <w:color w:val="000000"/>
          <w:lang w:eastAsia="ja-JP"/>
        </w:rPr>
      </w:pPr>
      <w:r>
        <w:rPr>
          <w:rFonts w:ascii="Arial" w:eastAsia="MS Mincho" w:hAnsi="Arial" w:cs="Arial"/>
          <w:color w:val="000000"/>
          <w:lang w:eastAsia="ja-JP"/>
        </w:rPr>
        <w:t>9.5</w:t>
      </w:r>
      <w:r>
        <w:rPr>
          <w:rFonts w:ascii="Arial" w:eastAsia="MS Mincho" w:hAnsi="Arial" w:cs="Arial"/>
          <w:color w:val="000000"/>
          <w:lang w:eastAsia="ja-JP"/>
        </w:rPr>
        <w:tab/>
        <w:t>A further report will be made once the position is clearer</w:t>
      </w:r>
      <w:r w:rsidR="00EC2D83">
        <w:rPr>
          <w:rFonts w:ascii="Arial" w:eastAsia="MS Mincho" w:hAnsi="Arial" w:cs="Arial"/>
          <w:color w:val="000000"/>
          <w:lang w:eastAsia="ja-JP"/>
        </w:rPr>
        <w:t xml:space="preserve"> and </w:t>
      </w:r>
      <w:r>
        <w:rPr>
          <w:rFonts w:ascii="Arial" w:eastAsia="MS Mincho" w:hAnsi="Arial" w:cs="Arial"/>
          <w:color w:val="000000"/>
          <w:lang w:eastAsia="ja-JP"/>
        </w:rPr>
        <w:t xml:space="preserve">if new legislation is imminent, this will contain a detailed analysis of the differences/similarities between the current GDPR and proposed UK GDPR. </w:t>
      </w:r>
    </w:p>
    <w:p w14:paraId="7D4B6A0E" w14:textId="77777777" w:rsidR="009A2BE1" w:rsidRDefault="009A2BE1" w:rsidP="005F7911">
      <w:pPr>
        <w:autoSpaceDE w:val="0"/>
        <w:autoSpaceDN w:val="0"/>
        <w:adjustRightInd w:val="0"/>
        <w:ind w:left="720"/>
        <w:rPr>
          <w:rFonts w:ascii="Arial" w:hAnsi="Arial" w:cs="Arial"/>
        </w:rPr>
      </w:pPr>
    </w:p>
    <w:p w14:paraId="049C760B" w14:textId="77777777" w:rsidR="009A2BE1" w:rsidRDefault="009A2BE1" w:rsidP="005F7911">
      <w:pPr>
        <w:autoSpaceDE w:val="0"/>
        <w:autoSpaceDN w:val="0"/>
        <w:adjustRightInd w:val="0"/>
        <w:ind w:left="720"/>
        <w:rPr>
          <w:rFonts w:ascii="Arial" w:hAnsi="Arial" w:cs="Arial"/>
        </w:rPr>
      </w:pPr>
    </w:p>
    <w:p w14:paraId="10AAAFC4" w14:textId="4277AFB4" w:rsidR="009A2BE1" w:rsidRDefault="009A2BE1" w:rsidP="005F7911">
      <w:pPr>
        <w:autoSpaceDE w:val="0"/>
        <w:autoSpaceDN w:val="0"/>
        <w:adjustRightInd w:val="0"/>
        <w:ind w:left="720"/>
        <w:rPr>
          <w:rFonts w:ascii="Arial" w:hAnsi="Arial" w:cs="Arial"/>
        </w:rPr>
      </w:pPr>
      <w:r>
        <w:rPr>
          <w:rFonts w:ascii="Arial" w:hAnsi="Arial" w:cs="Arial"/>
        </w:rPr>
        <w:t xml:space="preserve"> </w:t>
      </w:r>
    </w:p>
    <w:p w14:paraId="07CA2502" w14:textId="77777777" w:rsidR="009A2BE1" w:rsidRDefault="009A2BE1" w:rsidP="005F7911">
      <w:pPr>
        <w:autoSpaceDE w:val="0"/>
        <w:autoSpaceDN w:val="0"/>
        <w:adjustRightInd w:val="0"/>
        <w:ind w:left="720"/>
        <w:rPr>
          <w:rFonts w:ascii="Arial" w:hAnsi="Arial" w:cs="Arial"/>
        </w:rPr>
      </w:pPr>
    </w:p>
    <w:p w14:paraId="0E1AAAFA" w14:textId="77777777" w:rsidR="006B722F" w:rsidRPr="00B368AE" w:rsidRDefault="006B722F" w:rsidP="001D7A26">
      <w:pPr>
        <w:rPr>
          <w:rFonts w:ascii="Arial" w:hAnsi="Arial" w:cs="Arial"/>
        </w:rPr>
      </w:pPr>
    </w:p>
    <w:sectPr w:rsidR="006B722F" w:rsidRPr="00B368A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BAF5" w14:textId="77777777" w:rsidR="00F6304B" w:rsidRDefault="00F6304B" w:rsidP="00F0194D">
      <w:r>
        <w:separator/>
      </w:r>
    </w:p>
  </w:endnote>
  <w:endnote w:type="continuationSeparator" w:id="0">
    <w:p w14:paraId="0A84FF48" w14:textId="77777777" w:rsidR="00F6304B" w:rsidRDefault="00F6304B" w:rsidP="00F0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urce Sans Pr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778996"/>
      <w:docPartObj>
        <w:docPartGallery w:val="Page Numbers (Bottom of Page)"/>
        <w:docPartUnique/>
      </w:docPartObj>
    </w:sdtPr>
    <w:sdtEndPr>
      <w:rPr>
        <w:noProof/>
      </w:rPr>
    </w:sdtEndPr>
    <w:sdtContent>
      <w:p w14:paraId="6B09E6B7" w14:textId="6C2440BC" w:rsidR="00F6304B" w:rsidRDefault="00F6304B">
        <w:pPr>
          <w:pStyle w:val="Footer"/>
          <w:jc w:val="right"/>
        </w:pPr>
        <w:r>
          <w:fldChar w:fldCharType="begin"/>
        </w:r>
        <w:r>
          <w:instrText xml:space="preserve"> PAGE   \* MERGEFORMAT </w:instrText>
        </w:r>
        <w:r>
          <w:fldChar w:fldCharType="separate"/>
        </w:r>
        <w:r w:rsidR="00B20574">
          <w:rPr>
            <w:noProof/>
          </w:rPr>
          <w:t>1</w:t>
        </w:r>
        <w:r>
          <w:rPr>
            <w:noProof/>
          </w:rPr>
          <w:fldChar w:fldCharType="end"/>
        </w:r>
      </w:p>
    </w:sdtContent>
  </w:sdt>
  <w:p w14:paraId="5840A439" w14:textId="77777777" w:rsidR="00F6304B" w:rsidRDefault="00F6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85722" w14:textId="77777777" w:rsidR="00F6304B" w:rsidRDefault="00F6304B" w:rsidP="00F0194D">
      <w:r>
        <w:separator/>
      </w:r>
    </w:p>
  </w:footnote>
  <w:footnote w:type="continuationSeparator" w:id="0">
    <w:p w14:paraId="105DA7DA" w14:textId="77777777" w:rsidR="00F6304B" w:rsidRDefault="00F6304B" w:rsidP="00F0194D">
      <w:r>
        <w:continuationSeparator/>
      </w:r>
    </w:p>
  </w:footnote>
  <w:footnote w:id="1">
    <w:p w14:paraId="02D3F56F" w14:textId="3A924C98" w:rsidR="00F6304B" w:rsidRPr="00E07117" w:rsidRDefault="00F6304B" w:rsidP="00E07117">
      <w:pPr>
        <w:shd w:val="clear" w:color="auto" w:fill="FFFFFF"/>
        <w:rPr>
          <w:rFonts w:ascii="Arial" w:hAnsi="Arial" w:cs="Arial"/>
          <w:sz w:val="16"/>
          <w:szCs w:val="16"/>
        </w:rPr>
      </w:pPr>
      <w:r>
        <w:rPr>
          <w:rStyle w:val="FootnoteReference"/>
        </w:rPr>
        <w:footnoteRef/>
      </w:r>
      <w:r>
        <w:t xml:space="preserve"> </w:t>
      </w:r>
      <w:r w:rsidRPr="00E07117">
        <w:rPr>
          <w:rFonts w:ascii="Arial" w:hAnsi="Arial" w:cs="Arial"/>
          <w:sz w:val="16"/>
          <w:szCs w:val="16"/>
        </w:rPr>
        <w:t xml:space="preserve">Wightman and Others (Notification by a Member State of its intention to withdraw from the European Union - Judgment) [2018] EUECJ C-621/18 (10 December 2018) </w:t>
      </w:r>
      <w:r w:rsidRPr="00E07117">
        <w:rPr>
          <w:rFonts w:ascii="Arial" w:hAnsi="Arial" w:cs="Arial"/>
          <w:sz w:val="16"/>
          <w:szCs w:val="16"/>
        </w:rPr>
        <w:br/>
      </w:r>
      <w:hyperlink r:id="rId1" w:history="1">
        <w:r w:rsidRPr="00E07117">
          <w:rPr>
            <w:rStyle w:val="Hyperlink"/>
            <w:rFonts w:ascii="Arial" w:hAnsi="Arial" w:cs="Arial"/>
            <w:i/>
            <w:iCs/>
            <w:sz w:val="16"/>
            <w:szCs w:val="16"/>
          </w:rPr>
          <w:t>http://www.bailii.org/eu/cases/EUECJ/2018/C62118.html</w:t>
        </w:r>
      </w:hyperlink>
      <w:r w:rsidRPr="00E07117">
        <w:rPr>
          <w:rFonts w:ascii="Arial" w:hAnsi="Arial" w:cs="Arial"/>
          <w:sz w:val="16"/>
          <w:szCs w:val="16"/>
        </w:rPr>
        <w:t xml:space="preserve"> </w:t>
      </w:r>
    </w:p>
    <w:p w14:paraId="187B4CB0" w14:textId="77777777" w:rsidR="00F6304B" w:rsidRPr="00E07117" w:rsidRDefault="00F6304B" w:rsidP="00E07117">
      <w:pPr>
        <w:rPr>
          <w:rFonts w:ascii="Arial" w:hAnsi="Arial" w:cs="Arial"/>
          <w:sz w:val="16"/>
          <w:szCs w:val="16"/>
        </w:rPr>
      </w:pPr>
      <w:r w:rsidRPr="00E07117">
        <w:rPr>
          <w:rFonts w:ascii="Arial" w:hAnsi="Arial" w:cs="Arial"/>
          <w:sz w:val="16"/>
          <w:szCs w:val="16"/>
        </w:rPr>
        <w:t>UK Commons briefing paper on CJEU decision</w:t>
      </w:r>
    </w:p>
    <w:p w14:paraId="4D39B99B" w14:textId="77777777" w:rsidR="00F6304B" w:rsidRPr="00E07117" w:rsidRDefault="00B20574" w:rsidP="00E07117">
      <w:pPr>
        <w:rPr>
          <w:rFonts w:ascii="Arial" w:hAnsi="Arial" w:cs="Arial"/>
          <w:sz w:val="16"/>
          <w:szCs w:val="16"/>
        </w:rPr>
      </w:pPr>
      <w:hyperlink r:id="rId2" w:history="1">
        <w:r w:rsidR="00F6304B" w:rsidRPr="00E07117">
          <w:rPr>
            <w:rStyle w:val="Hyperlink"/>
            <w:rFonts w:ascii="Arial" w:hAnsi="Arial" w:cs="Arial"/>
            <w:sz w:val="16"/>
            <w:szCs w:val="16"/>
          </w:rPr>
          <w:t>https://researchbriefings.parliament.uk/ResearchBriefing/Summary/CBP-8461</w:t>
        </w:r>
      </w:hyperlink>
    </w:p>
    <w:p w14:paraId="1E7A67B9" w14:textId="214E605B" w:rsidR="00F6304B" w:rsidRDefault="00F6304B">
      <w:pPr>
        <w:pStyle w:val="FootnoteText"/>
      </w:pPr>
    </w:p>
  </w:footnote>
  <w:footnote w:id="2">
    <w:p w14:paraId="60C25409" w14:textId="77777777" w:rsidR="00F6304B" w:rsidRDefault="00F6304B">
      <w:pPr>
        <w:pStyle w:val="FootnoteText"/>
      </w:pPr>
      <w:r>
        <w:rPr>
          <w:rStyle w:val="FootnoteReference"/>
        </w:rPr>
        <w:footnoteRef/>
      </w:r>
      <w:r>
        <w:t xml:space="preserve"> HM Government: </w:t>
      </w:r>
      <w:r w:rsidRPr="003600B4">
        <w:t>T</w:t>
      </w:r>
      <w:r>
        <w:t>echnical Note: Benefits of a new data protection agreement (7</w:t>
      </w:r>
      <w:r w:rsidRPr="003600B4">
        <w:rPr>
          <w:vertAlign w:val="superscript"/>
        </w:rPr>
        <w:t>th</w:t>
      </w:r>
      <w:r>
        <w:t xml:space="preserve"> June 2018) </w:t>
      </w:r>
      <w:r w:rsidRPr="003600B4">
        <w:t>https://www.gov.uk/government/publications/technical-note-on-data-protection</w:t>
      </w:r>
    </w:p>
  </w:footnote>
  <w:footnote w:id="3">
    <w:p w14:paraId="0E1292C3" w14:textId="3A1CC4C9" w:rsidR="00F6304B" w:rsidRDefault="00F6304B">
      <w:pPr>
        <w:pStyle w:val="FootnoteText"/>
      </w:pPr>
      <w:r>
        <w:rPr>
          <w:rStyle w:val="FootnoteReference"/>
        </w:rPr>
        <w:footnoteRef/>
      </w:r>
      <w:r>
        <w:t xml:space="preserve"> Approved Codes of Conduct not yet in use –  m</w:t>
      </w:r>
      <w:r w:rsidRPr="00B568DE">
        <w:rPr>
          <w:rFonts w:ascii="Arial" w:hAnsi="Arial" w:cs="Arial"/>
          <w:sz w:val="16"/>
          <w:szCs w:val="16"/>
        </w:rPr>
        <w:t xml:space="preserve">echanisms </w:t>
      </w:r>
      <w:r>
        <w:rPr>
          <w:rFonts w:ascii="Arial" w:hAnsi="Arial" w:cs="Arial"/>
          <w:sz w:val="16"/>
          <w:szCs w:val="16"/>
        </w:rPr>
        <w:t xml:space="preserve">to be </w:t>
      </w:r>
      <w:r w:rsidRPr="00B568DE">
        <w:rPr>
          <w:rFonts w:ascii="Arial" w:hAnsi="Arial" w:cs="Arial"/>
          <w:sz w:val="16"/>
          <w:szCs w:val="16"/>
        </w:rPr>
        <w:t>established</w:t>
      </w:r>
    </w:p>
  </w:footnote>
  <w:footnote w:id="4">
    <w:p w14:paraId="62959E93" w14:textId="79E60AA2" w:rsidR="00F6304B" w:rsidRDefault="00F6304B">
      <w:pPr>
        <w:pStyle w:val="FootnoteText"/>
      </w:pPr>
      <w:r>
        <w:rPr>
          <w:rStyle w:val="FootnoteReference"/>
        </w:rPr>
        <w:footnoteRef/>
      </w:r>
      <w:r>
        <w:t xml:space="preserve"> Approved certification mechanisms not yet in use – to be </w:t>
      </w:r>
      <w:r w:rsidRPr="00B568DE">
        <w:rPr>
          <w:rFonts w:ascii="Arial" w:hAnsi="Arial" w:cs="Arial"/>
          <w:sz w:val="16"/>
          <w:szCs w:val="16"/>
        </w:rPr>
        <w:t>established</w:t>
      </w:r>
    </w:p>
  </w:footnote>
  <w:footnote w:id="5">
    <w:p w14:paraId="5758AD7E" w14:textId="77777777" w:rsidR="00F6304B" w:rsidRDefault="00F6304B" w:rsidP="002813CC">
      <w:pPr>
        <w:pStyle w:val="FootnoteText"/>
      </w:pPr>
      <w:r>
        <w:rPr>
          <w:rStyle w:val="FootnoteReference"/>
        </w:rPr>
        <w:footnoteRef/>
      </w:r>
      <w:r>
        <w:t xml:space="preserve"> Exceptions: where processing is only ‘occasional’ or if a public authority </w:t>
      </w:r>
    </w:p>
  </w:footnote>
  <w:footnote w:id="6">
    <w:p w14:paraId="6E750B3D" w14:textId="77777777" w:rsidR="00F6304B" w:rsidRPr="00F42E83" w:rsidRDefault="00F6304B" w:rsidP="00DE1567">
      <w:pPr>
        <w:shd w:val="clear" w:color="auto" w:fill="FFFFFF"/>
        <w:rPr>
          <w:rFonts w:ascii="Arial" w:hAnsi="Arial" w:cs="Arial"/>
          <w:sz w:val="16"/>
          <w:szCs w:val="16"/>
        </w:rPr>
      </w:pPr>
      <w:r>
        <w:rPr>
          <w:rStyle w:val="FootnoteReference"/>
        </w:rPr>
        <w:footnoteRef/>
      </w:r>
      <w:r w:rsidRPr="00F42E83">
        <w:rPr>
          <w:rFonts w:ascii="Arial" w:hAnsi="Arial" w:cs="Arial"/>
          <w:color w:val="000000"/>
          <w:sz w:val="16"/>
          <w:szCs w:val="16"/>
          <w:lang w:val="en" w:eastAsia="en-GB"/>
        </w:rPr>
        <w:t>ICO: Guidance on the effects of leaving the EU without a withdrawal agreement</w:t>
      </w:r>
      <w:r>
        <w:rPr>
          <w:rFonts w:ascii="Arial" w:hAnsi="Arial" w:cs="Arial"/>
          <w:color w:val="000000"/>
          <w:sz w:val="16"/>
          <w:szCs w:val="16"/>
          <w:lang w:val="en" w:eastAsia="en-GB"/>
        </w:rPr>
        <w:t xml:space="preserve">: International transfers </w:t>
      </w:r>
      <w:r w:rsidRPr="00F42E83">
        <w:rPr>
          <w:rFonts w:ascii="Arial" w:hAnsi="Arial" w:cs="Arial"/>
          <w:color w:val="000000"/>
          <w:sz w:val="16"/>
          <w:szCs w:val="16"/>
          <w:lang w:val="en" w:eastAsia="en-GB"/>
        </w:rPr>
        <w:t xml:space="preserve"> </w:t>
      </w:r>
    </w:p>
    <w:p w14:paraId="1B3D2636" w14:textId="77777777" w:rsidR="00F6304B" w:rsidRDefault="00B20574" w:rsidP="00DE1567">
      <w:pPr>
        <w:pStyle w:val="FootnoteText"/>
      </w:pPr>
      <w:hyperlink r:id="rId3" w:history="1">
        <w:r w:rsidR="00F6304B" w:rsidRPr="001E230F">
          <w:rPr>
            <w:rStyle w:val="Hyperlink"/>
          </w:rPr>
          <w:t>https://ico.org.uk/for-organisations/data-protection-and-brexit/data-protection-if-there-s-no-brexit-deal/the-gdpr/international-data-transfers/</w:t>
        </w:r>
      </w:hyperlink>
    </w:p>
  </w:footnote>
  <w:footnote w:id="7">
    <w:p w14:paraId="32032D3D" w14:textId="77777777" w:rsidR="00F6304B" w:rsidRDefault="00F6304B" w:rsidP="00991A04">
      <w:pPr>
        <w:pStyle w:val="FootnoteText"/>
      </w:pPr>
      <w:r>
        <w:rPr>
          <w:rStyle w:val="FootnoteReference"/>
        </w:rPr>
        <w:footnoteRef/>
      </w:r>
      <w:r>
        <w:t xml:space="preserve"> </w:t>
      </w:r>
      <w:r w:rsidRPr="00484B89">
        <w:rPr>
          <w:color w:val="000000" w:themeColor="text1"/>
        </w:rPr>
        <w:t xml:space="preserve">DCMS: </w:t>
      </w:r>
      <w:r w:rsidRPr="00484B89">
        <w:rPr>
          <w:color w:val="000000" w:themeColor="text1"/>
          <w:lang w:val="en"/>
        </w:rPr>
        <w:t>Data protection if there’s no Brexit deal (13</w:t>
      </w:r>
      <w:r w:rsidRPr="00484B89">
        <w:rPr>
          <w:color w:val="000000" w:themeColor="text1"/>
          <w:vertAlign w:val="superscript"/>
          <w:lang w:val="en"/>
        </w:rPr>
        <w:t>th</w:t>
      </w:r>
      <w:r w:rsidRPr="00484B89">
        <w:rPr>
          <w:color w:val="000000" w:themeColor="text1"/>
          <w:lang w:val="en"/>
        </w:rPr>
        <w:t xml:space="preserve"> September 2018)  </w:t>
      </w:r>
      <w:hyperlink r:id="rId4" w:history="1">
        <w:r w:rsidRPr="001E230F">
          <w:rPr>
            <w:rStyle w:val="Hyperlink"/>
          </w:rPr>
          <w:t>https://www.gov.uk/government/publications/data-protection-if-theres-no-brexit-deal/data-protection-if-theres-no-brexit-deal</w:t>
        </w:r>
      </w:hyperlink>
    </w:p>
  </w:footnote>
  <w:footnote w:id="8">
    <w:p w14:paraId="3EEB417F" w14:textId="77777777" w:rsidR="00F6304B" w:rsidRDefault="00F6304B" w:rsidP="00991A04">
      <w:r>
        <w:rPr>
          <w:rStyle w:val="FootnoteReference"/>
        </w:rPr>
        <w:footnoteRef/>
      </w:r>
      <w:r>
        <w:t xml:space="preserve"> </w:t>
      </w:r>
      <w:r w:rsidRPr="00F0194D">
        <w:rPr>
          <w:rFonts w:ascii="Arial" w:hAnsi="Arial" w:cs="Arial"/>
          <w:sz w:val="16"/>
          <w:szCs w:val="16"/>
        </w:rPr>
        <w:t xml:space="preserve">DCMS: </w:t>
      </w:r>
      <w:r w:rsidRPr="00F0194D">
        <w:rPr>
          <w:rFonts w:ascii="Arial" w:hAnsi="Arial" w:cs="Arial"/>
          <w:sz w:val="16"/>
          <w:szCs w:val="16"/>
          <w:lang w:val="en"/>
        </w:rPr>
        <w:t>Amendments to UK data protection law in the event the UK leaves the EU without a deal on 29 March 2019 (13</w:t>
      </w:r>
      <w:r w:rsidRPr="00F0194D">
        <w:rPr>
          <w:rFonts w:ascii="Arial" w:hAnsi="Arial" w:cs="Arial"/>
          <w:sz w:val="16"/>
          <w:szCs w:val="16"/>
          <w:vertAlign w:val="superscript"/>
          <w:lang w:val="en"/>
        </w:rPr>
        <w:t>th</w:t>
      </w:r>
      <w:r w:rsidRPr="00F0194D">
        <w:rPr>
          <w:rFonts w:ascii="Arial" w:hAnsi="Arial" w:cs="Arial"/>
          <w:sz w:val="16"/>
          <w:szCs w:val="16"/>
          <w:lang w:val="en"/>
        </w:rPr>
        <w:t xml:space="preserve"> December 2018) </w:t>
      </w:r>
      <w:hyperlink r:id="rId5" w:history="1">
        <w:r w:rsidRPr="00F0194D">
          <w:rPr>
            <w:rStyle w:val="Hyperlink"/>
            <w:rFonts w:ascii="Arial" w:hAnsi="Arial" w:cs="Arial"/>
            <w:sz w:val="16"/>
            <w:szCs w:val="16"/>
          </w:rPr>
          <w:t>https://www.gov.uk/government/publications/data-protection-law-eu-exit/amendments-to-uk-data-protection-law-in-the-event-the-uk-leaves-the-eu-without-a-deal-on-29-march-2019</w:t>
        </w:r>
      </w:hyperlink>
    </w:p>
  </w:footnote>
  <w:footnote w:id="9">
    <w:p w14:paraId="597DBBF9" w14:textId="5C8BAEC6" w:rsidR="00F6304B" w:rsidRDefault="00F6304B">
      <w:pPr>
        <w:pStyle w:val="FootnoteText"/>
      </w:pPr>
      <w:r>
        <w:rPr>
          <w:rStyle w:val="FootnoteReference"/>
        </w:rPr>
        <w:footnoteRef/>
      </w:r>
      <w:r>
        <w:t xml:space="preserve"> </w:t>
      </w:r>
      <w:r w:rsidRPr="009521A7">
        <w:rPr>
          <w:rFonts w:ascii="Arial" w:hAnsi="Arial" w:cs="Arial"/>
          <w:sz w:val="16"/>
          <w:szCs w:val="16"/>
        </w:rPr>
        <w:t>The Data Protection, Privacy and Electronic Communications (Amendments etc) (EU Exit) Regulations 2019</w:t>
      </w:r>
      <w:r>
        <w:rPr>
          <w:i/>
          <w:sz w:val="24"/>
          <w:szCs w:val="24"/>
        </w:rPr>
        <w:t xml:space="preserve"> </w:t>
      </w:r>
      <w:hyperlink r:id="rId6" w:history="1">
        <w:r w:rsidRPr="001E230F">
          <w:rPr>
            <w:rStyle w:val="Hyperlink"/>
          </w:rPr>
          <w:t>http://www.legislation.gov.uk/ukdsi/2019/9780111177594/contents</w:t>
        </w:r>
      </w:hyperlink>
    </w:p>
    <w:p w14:paraId="5E1AEFBE" w14:textId="77777777" w:rsidR="00F6304B" w:rsidRDefault="00F6304B">
      <w:pPr>
        <w:pStyle w:val="FootnoteText"/>
      </w:pPr>
    </w:p>
  </w:footnote>
  <w:footnote w:id="10">
    <w:p w14:paraId="0C67AFF2" w14:textId="27D255AB" w:rsidR="00F6304B" w:rsidRDefault="00F6304B">
      <w:pPr>
        <w:pStyle w:val="FootnoteText"/>
      </w:pPr>
      <w:r>
        <w:rPr>
          <w:rStyle w:val="FootnoteReference"/>
        </w:rPr>
        <w:footnoteRef/>
      </w:r>
      <w:r>
        <w:t xml:space="preserve"> The ICO has published the last approved EU Standard Contractual clauses in template format for ‘controller to controller’ and ‘controller to processor’  </w:t>
      </w:r>
    </w:p>
    <w:p w14:paraId="20D47CEB" w14:textId="06F64D36" w:rsidR="00F6304B" w:rsidRDefault="00F6304B">
      <w:pPr>
        <w:pStyle w:val="FootnoteText"/>
      </w:pPr>
      <w:r>
        <w:t xml:space="preserve">(Under heading “appropriate safeguards’)  </w:t>
      </w:r>
      <w:hyperlink r:id="rId7" w:history="1">
        <w:r w:rsidRPr="00466C4C">
          <w:rPr>
            <w:rStyle w:val="Hyperlink"/>
          </w:rPr>
          <w:t>https://ico.org.uk/for-organisations/data-protection-and-brexit/data-protection-if-there-s-no-brexit-deal/the-gdpr/international-data-transfers/</w:t>
        </w:r>
      </w:hyperlink>
    </w:p>
    <w:p w14:paraId="35B55D93" w14:textId="77777777" w:rsidR="00F6304B" w:rsidRDefault="00F6304B">
      <w:pPr>
        <w:pStyle w:val="FootnoteText"/>
      </w:pPr>
    </w:p>
    <w:p w14:paraId="5BA1942E" w14:textId="4B2D3845" w:rsidR="00F6304B" w:rsidRDefault="00F6304B" w:rsidP="003336C3">
      <w:pPr>
        <w:spacing w:before="100" w:beforeAutospacing="1" w:after="100" w:afterAutospacing="1"/>
        <w:ind w:left="1080"/>
        <w:rPr>
          <w:lang w:val="en"/>
        </w:rPr>
      </w:pPr>
    </w:p>
    <w:p w14:paraId="3666030E" w14:textId="77777777" w:rsidR="00F6304B" w:rsidRDefault="00F6304B">
      <w:pPr>
        <w:pStyle w:val="FootnoteText"/>
      </w:pPr>
    </w:p>
  </w:footnote>
  <w:footnote w:id="11">
    <w:p w14:paraId="24784E71" w14:textId="77777777" w:rsidR="00F6304B" w:rsidRDefault="00F6304B" w:rsidP="00082BAE">
      <w:pPr>
        <w:shd w:val="clear" w:color="auto" w:fill="FFFFFF"/>
        <w:rPr>
          <w:rFonts w:ascii="Arial" w:hAnsi="Arial" w:cs="Arial"/>
          <w:sz w:val="16"/>
          <w:szCs w:val="16"/>
        </w:rPr>
      </w:pPr>
    </w:p>
    <w:p w14:paraId="59C323F4" w14:textId="7E4B5510" w:rsidR="00F6304B" w:rsidRPr="00B60046" w:rsidRDefault="00F6304B" w:rsidP="00082BAE">
      <w:pPr>
        <w:shd w:val="clear" w:color="auto" w:fill="FFFFFF"/>
        <w:rPr>
          <w:rFonts w:ascii="Arial" w:hAnsi="Arial" w:cs="Arial"/>
          <w:sz w:val="16"/>
          <w:szCs w:val="16"/>
        </w:rPr>
      </w:pPr>
      <w:r w:rsidRPr="00B60046">
        <w:rPr>
          <w:rStyle w:val="FootnoteReference"/>
          <w:rFonts w:ascii="Arial" w:hAnsi="Arial" w:cs="Arial"/>
          <w:sz w:val="16"/>
          <w:szCs w:val="16"/>
        </w:rPr>
        <w:footnoteRef/>
      </w:r>
      <w:r w:rsidRPr="00B60046">
        <w:rPr>
          <w:rFonts w:ascii="Arial" w:hAnsi="Arial" w:cs="Arial"/>
          <w:sz w:val="16"/>
          <w:szCs w:val="16"/>
        </w:rPr>
        <w:t xml:space="preserve"> </w:t>
      </w:r>
      <w:r w:rsidRPr="00B60046">
        <w:rPr>
          <w:rFonts w:ascii="Arial" w:hAnsi="Arial" w:cs="Arial"/>
          <w:color w:val="000000" w:themeColor="text1"/>
          <w:sz w:val="16"/>
          <w:szCs w:val="16"/>
        </w:rPr>
        <w:t>ICO blog on protection and Brexit</w:t>
      </w:r>
      <w:r w:rsidRPr="00B60046">
        <w:rPr>
          <w:rFonts w:ascii="Arial" w:hAnsi="Arial" w:cs="Arial"/>
          <w:color w:val="444444"/>
          <w:sz w:val="16"/>
          <w:szCs w:val="16"/>
        </w:rPr>
        <w:t xml:space="preserve">: </w:t>
      </w:r>
      <w:hyperlink r:id="rId8" w:history="1">
        <w:r w:rsidRPr="00B60046">
          <w:rPr>
            <w:rStyle w:val="Hyperlink"/>
            <w:rFonts w:ascii="Arial" w:hAnsi="Arial" w:cs="Arial"/>
            <w:sz w:val="16"/>
            <w:szCs w:val="16"/>
          </w:rPr>
          <w:t>https://ico.org.uk/about-the-ico/news-and-events/blog-data-protection-and-brexit-ico-advice-for-organisations/</w:t>
        </w:r>
      </w:hyperlink>
    </w:p>
  </w:footnote>
  <w:footnote w:id="12">
    <w:p w14:paraId="34EC04A1" w14:textId="77777777" w:rsidR="00F6304B" w:rsidRPr="00B60046" w:rsidRDefault="00F6304B" w:rsidP="00A152FB">
      <w:pPr>
        <w:shd w:val="clear" w:color="auto" w:fill="FFFFFF"/>
        <w:rPr>
          <w:rFonts w:ascii="Arial" w:hAnsi="Arial" w:cs="Arial"/>
          <w:sz w:val="16"/>
          <w:szCs w:val="16"/>
        </w:rPr>
      </w:pPr>
      <w:r w:rsidRPr="00B60046">
        <w:rPr>
          <w:rStyle w:val="FootnoteReference"/>
          <w:rFonts w:ascii="Arial" w:hAnsi="Arial" w:cs="Arial"/>
          <w:sz w:val="16"/>
          <w:szCs w:val="16"/>
        </w:rPr>
        <w:footnoteRef/>
      </w:r>
      <w:r w:rsidRPr="00B60046">
        <w:rPr>
          <w:rFonts w:ascii="Arial" w:hAnsi="Arial" w:cs="Arial"/>
          <w:sz w:val="16"/>
          <w:szCs w:val="16"/>
        </w:rPr>
        <w:t xml:space="preserve"> ICO: “Leaving the EU – 6 steps to take” </w:t>
      </w:r>
      <w:hyperlink r:id="rId9" w:history="1">
        <w:r w:rsidRPr="00B60046">
          <w:rPr>
            <w:rStyle w:val="Hyperlink"/>
            <w:rFonts w:ascii="Arial" w:hAnsi="Arial" w:cs="Arial"/>
            <w:sz w:val="16"/>
            <w:szCs w:val="16"/>
          </w:rPr>
          <w:t>https://ico.org.uk/media/2553958/leaving-the-eu-six-steps-to-take.pdf</w:t>
        </w:r>
      </w:hyperlink>
    </w:p>
  </w:footnote>
  <w:footnote w:id="13">
    <w:p w14:paraId="5D7A5347" w14:textId="77777777" w:rsidR="00F6304B" w:rsidRPr="00B60046" w:rsidRDefault="00F6304B" w:rsidP="00A152FB">
      <w:pPr>
        <w:shd w:val="clear" w:color="auto" w:fill="FFFFFF"/>
        <w:rPr>
          <w:rFonts w:ascii="Arial" w:hAnsi="Arial" w:cs="Arial"/>
          <w:sz w:val="16"/>
          <w:szCs w:val="16"/>
        </w:rPr>
      </w:pPr>
      <w:r w:rsidRPr="00B60046">
        <w:rPr>
          <w:rStyle w:val="FootnoteReference"/>
          <w:rFonts w:ascii="Arial" w:hAnsi="Arial" w:cs="Arial"/>
          <w:sz w:val="16"/>
          <w:szCs w:val="16"/>
        </w:rPr>
        <w:footnoteRef/>
      </w:r>
      <w:r w:rsidRPr="00B60046">
        <w:rPr>
          <w:rFonts w:ascii="Arial" w:hAnsi="Arial" w:cs="Arial"/>
          <w:sz w:val="16"/>
          <w:szCs w:val="16"/>
        </w:rPr>
        <w:t xml:space="preserve"> </w:t>
      </w:r>
      <w:r w:rsidRPr="00B60046">
        <w:rPr>
          <w:rFonts w:ascii="Arial" w:hAnsi="Arial" w:cs="Arial"/>
          <w:color w:val="000000"/>
          <w:sz w:val="16"/>
          <w:szCs w:val="16"/>
          <w:lang w:val="en" w:eastAsia="en-GB"/>
        </w:rPr>
        <w:t xml:space="preserve">ICO: Guidance on the effects of leaving the EU without a withdrawal agreement </w:t>
      </w:r>
    </w:p>
    <w:p w14:paraId="38D9ACE0" w14:textId="77777777" w:rsidR="00F6304B" w:rsidRPr="00B60046" w:rsidRDefault="00B20574" w:rsidP="00A152FB">
      <w:pPr>
        <w:shd w:val="clear" w:color="auto" w:fill="FFFFFF"/>
        <w:rPr>
          <w:rFonts w:ascii="Arial" w:hAnsi="Arial" w:cs="Arial"/>
          <w:sz w:val="16"/>
          <w:szCs w:val="16"/>
        </w:rPr>
      </w:pPr>
      <w:hyperlink r:id="rId10" w:history="1">
        <w:r w:rsidR="00F6304B" w:rsidRPr="00B60046">
          <w:rPr>
            <w:rStyle w:val="Hyperlink"/>
            <w:rFonts w:ascii="Arial" w:hAnsi="Arial" w:cs="Arial"/>
            <w:sz w:val="16"/>
            <w:szCs w:val="16"/>
          </w:rPr>
          <w:t>https://ico.org.uk/for-organisations/data-protection-and-brexit/data-protection-if-there-s-no-brexit-deal/</w:t>
        </w:r>
      </w:hyperlink>
    </w:p>
  </w:footnote>
  <w:footnote w:id="14">
    <w:p w14:paraId="78C8A317" w14:textId="32AEA210" w:rsidR="00F6304B" w:rsidRPr="00B60046" w:rsidRDefault="00F6304B" w:rsidP="00F42E83">
      <w:pPr>
        <w:shd w:val="clear" w:color="auto" w:fill="FFFFFF"/>
        <w:rPr>
          <w:rFonts w:ascii="Arial" w:hAnsi="Arial" w:cs="Arial"/>
          <w:sz w:val="16"/>
          <w:szCs w:val="16"/>
        </w:rPr>
      </w:pPr>
      <w:r w:rsidRPr="00B60046">
        <w:rPr>
          <w:rStyle w:val="FootnoteReference"/>
          <w:rFonts w:ascii="Arial" w:hAnsi="Arial" w:cs="Arial"/>
          <w:sz w:val="16"/>
          <w:szCs w:val="16"/>
        </w:rPr>
        <w:footnoteRef/>
      </w:r>
      <w:r w:rsidRPr="00B60046">
        <w:rPr>
          <w:rFonts w:ascii="Arial" w:hAnsi="Arial" w:cs="Arial"/>
          <w:sz w:val="16"/>
          <w:szCs w:val="16"/>
        </w:rPr>
        <w:t xml:space="preserve"> ICO: Frequently Asked Questions on Information rights and Brexit </w:t>
      </w:r>
    </w:p>
    <w:p w14:paraId="57E7A770" w14:textId="3BAD7024" w:rsidR="00F6304B" w:rsidRPr="00B60046" w:rsidRDefault="00B20574" w:rsidP="00B60046">
      <w:pPr>
        <w:shd w:val="clear" w:color="auto" w:fill="FFFFFF"/>
        <w:rPr>
          <w:rFonts w:ascii="Arial" w:hAnsi="Arial" w:cs="Arial"/>
          <w:sz w:val="16"/>
          <w:szCs w:val="16"/>
        </w:rPr>
      </w:pPr>
      <w:hyperlink r:id="rId11" w:history="1">
        <w:r w:rsidR="00F6304B" w:rsidRPr="00B60046">
          <w:rPr>
            <w:rStyle w:val="Hyperlink"/>
            <w:rFonts w:ascii="Arial" w:hAnsi="Arial" w:cs="Arial"/>
            <w:sz w:val="16"/>
            <w:szCs w:val="16"/>
          </w:rPr>
          <w:t>https://ico.org.uk/for-organisations/data-protection-and-brexit/information-rights-and-brexit-frequently-asked-questions/</w:t>
        </w:r>
      </w:hyperlink>
    </w:p>
  </w:footnote>
  <w:footnote w:id="15">
    <w:p w14:paraId="0647CE1E" w14:textId="0C7BCE24" w:rsidR="00F6304B" w:rsidRDefault="00F6304B" w:rsidP="007B5BCE">
      <w:pPr>
        <w:shd w:val="clear" w:color="auto" w:fill="FFFFFF"/>
      </w:pPr>
      <w:r w:rsidRPr="00B60046">
        <w:rPr>
          <w:rStyle w:val="FootnoteReference"/>
          <w:rFonts w:ascii="Arial" w:hAnsi="Arial" w:cs="Arial"/>
          <w:sz w:val="16"/>
          <w:szCs w:val="16"/>
        </w:rPr>
        <w:footnoteRef/>
      </w:r>
      <w:r w:rsidRPr="00B60046">
        <w:rPr>
          <w:rFonts w:ascii="Arial" w:hAnsi="Arial" w:cs="Arial"/>
          <w:sz w:val="16"/>
          <w:szCs w:val="16"/>
        </w:rPr>
        <w:t xml:space="preserve"> ICO: Interactive tool </w:t>
      </w:r>
      <w:hyperlink r:id="rId12" w:history="1">
        <w:r w:rsidRPr="00B60046">
          <w:rPr>
            <w:rStyle w:val="Hyperlink"/>
            <w:rFonts w:ascii="Arial" w:hAnsi="Arial" w:cs="Arial"/>
            <w:sz w:val="16"/>
            <w:szCs w:val="16"/>
          </w:rPr>
          <w:t>https://ico.org.uk/for-organisations/data-protection-and-brexit/standard-contractual-clauses-for-transfers-from-the-eea-to-the-uk-interactive-tool/</w:t>
        </w:r>
      </w:hyperlink>
    </w:p>
  </w:footnote>
  <w:footnote w:id="16">
    <w:p w14:paraId="5AAD2EEF" w14:textId="288C56F1" w:rsidR="00F6304B" w:rsidRPr="0085283B" w:rsidRDefault="00F6304B" w:rsidP="0085283B">
      <w:pPr>
        <w:shd w:val="clear" w:color="auto" w:fill="FFFFFF"/>
        <w:rPr>
          <w:rFonts w:ascii="Arial" w:hAnsi="Arial" w:cs="Arial"/>
          <w:sz w:val="16"/>
          <w:szCs w:val="16"/>
        </w:rPr>
      </w:pPr>
      <w:r>
        <w:rPr>
          <w:rStyle w:val="FootnoteReference"/>
        </w:rPr>
        <w:footnoteRef/>
      </w:r>
      <w:r>
        <w:t xml:space="preserve"> </w:t>
      </w:r>
      <w:r w:rsidRPr="0085283B">
        <w:rPr>
          <w:rFonts w:ascii="Arial" w:hAnsi="Arial" w:cs="Arial"/>
          <w:sz w:val="16"/>
          <w:szCs w:val="16"/>
        </w:rPr>
        <w:t xml:space="preserve">ICO: Guidance </w:t>
      </w:r>
      <w:r w:rsidRPr="0085283B">
        <w:rPr>
          <w:rFonts w:ascii="Arial" w:hAnsi="Arial" w:cs="Arial"/>
          <w:color w:val="000000"/>
          <w:sz w:val="16"/>
          <w:szCs w:val="16"/>
          <w:lang w:val="en" w:eastAsia="en-GB"/>
        </w:rPr>
        <w:t xml:space="preserve">on the effects of leaving the EU without a withdrawal agreement: International data transfers – appropriate safeguards </w:t>
      </w:r>
    </w:p>
    <w:p w14:paraId="2AF01C71" w14:textId="36ACB2E7" w:rsidR="00F6304B" w:rsidRDefault="00F6304B">
      <w:pPr>
        <w:pStyle w:val="FootnoteText"/>
      </w:pPr>
      <w:r>
        <w:t xml:space="preserve"> </w:t>
      </w:r>
      <w:hyperlink r:id="rId13" w:history="1">
        <w:r w:rsidRPr="00466C4C">
          <w:rPr>
            <w:rStyle w:val="Hyperlink"/>
          </w:rPr>
          <w:t>https://ico.org.uk/for-organisations/data-protection-and-brexit/data-protection-if-there-s-no-brexit-deal/the-gdpr/international-data-transfers/</w:t>
        </w:r>
      </w:hyperlink>
    </w:p>
  </w:footnote>
  <w:footnote w:id="17">
    <w:p w14:paraId="5BF760FD" w14:textId="77777777" w:rsidR="00F6304B" w:rsidRPr="007B5BCE" w:rsidRDefault="00F6304B" w:rsidP="007B5BCE">
      <w:pPr>
        <w:shd w:val="clear" w:color="auto" w:fill="FFFFFF"/>
        <w:rPr>
          <w:rFonts w:ascii="Arial" w:hAnsi="Arial" w:cs="Arial"/>
          <w:b/>
          <w:sz w:val="16"/>
          <w:szCs w:val="16"/>
          <w:lang w:val="en"/>
        </w:rPr>
      </w:pPr>
      <w:r>
        <w:rPr>
          <w:rStyle w:val="FootnoteReference"/>
        </w:rPr>
        <w:footnoteRef/>
      </w:r>
      <w:r>
        <w:t xml:space="preserve"> </w:t>
      </w:r>
      <w:r w:rsidRPr="007B5BCE">
        <w:rPr>
          <w:rFonts w:ascii="Arial" w:hAnsi="Arial" w:cs="Arial"/>
          <w:b/>
          <w:sz w:val="16"/>
          <w:szCs w:val="16"/>
          <w:lang w:val="en"/>
        </w:rPr>
        <w:t>ICO Guidance: EU/US Privacy Shield</w:t>
      </w:r>
    </w:p>
    <w:p w14:paraId="3C50B9C7" w14:textId="77777777" w:rsidR="00F6304B" w:rsidRPr="007B5BCE" w:rsidRDefault="00F6304B" w:rsidP="007B5BCE">
      <w:pPr>
        <w:shd w:val="clear" w:color="auto" w:fill="FFFFFF"/>
        <w:rPr>
          <w:rFonts w:ascii="Arial" w:hAnsi="Arial" w:cs="Arial"/>
          <w:sz w:val="16"/>
          <w:szCs w:val="16"/>
          <w:lang w:val="en" w:eastAsia="en-GB"/>
        </w:rPr>
      </w:pPr>
      <w:r w:rsidRPr="007B5BCE">
        <w:rPr>
          <w:rFonts w:ascii="Arial" w:hAnsi="Arial" w:cs="Arial"/>
          <w:sz w:val="16"/>
          <w:szCs w:val="16"/>
          <w:lang w:val="en"/>
        </w:rPr>
        <w:t xml:space="preserve">The </w:t>
      </w:r>
      <w:r w:rsidRPr="007B5BCE">
        <w:rPr>
          <w:rFonts w:ascii="Arial" w:hAnsi="Arial" w:cs="Arial"/>
          <w:sz w:val="16"/>
          <w:szCs w:val="16"/>
          <w:lang w:val="en" w:eastAsia="en-GB"/>
        </w:rPr>
        <w:t xml:space="preserve">UK government is making arrangements for its continued application to restricted transfers from the UK to the USA and there is further information on the US government’s </w:t>
      </w:r>
      <w:hyperlink r:id="rId14" w:tgtFrame="_blank" w:history="1">
        <w:r w:rsidRPr="007B5BCE">
          <w:rPr>
            <w:rFonts w:ascii="Arial" w:hAnsi="Arial" w:cs="Arial"/>
            <w:color w:val="0000FF"/>
            <w:sz w:val="16"/>
            <w:szCs w:val="16"/>
            <w:u w:val="single"/>
            <w:lang w:val="en" w:eastAsia="en-GB"/>
          </w:rPr>
          <w:t>Privacy Shield website</w:t>
        </w:r>
      </w:hyperlink>
      <w:r w:rsidRPr="007B5BCE">
        <w:rPr>
          <w:rFonts w:ascii="Arial" w:hAnsi="Arial" w:cs="Arial"/>
          <w:sz w:val="16"/>
          <w:szCs w:val="16"/>
          <w:lang w:val="en" w:eastAsia="en-GB"/>
        </w:rPr>
        <w:t>. If the UK exits the EU without the Withdrawal Agreement (‘No Deal’), UK businesses will continue to be able to transfer personal data to US organisations participating in the Privacy Shield provided those US organisations have updated their public commitment to comply with the Privacy Shield to expressly state that those commitments apply to transfers of personal data from the UK.</w:t>
      </w:r>
    </w:p>
    <w:p w14:paraId="44928A0A" w14:textId="662EF00F" w:rsidR="00F6304B" w:rsidRPr="007B5BCE" w:rsidRDefault="00F6304B" w:rsidP="007B5BCE">
      <w:pPr>
        <w:shd w:val="clear" w:color="auto" w:fill="FFFFFF"/>
        <w:rPr>
          <w:rFonts w:ascii="Arial" w:hAnsi="Arial" w:cs="Arial"/>
          <w:color w:val="000000" w:themeColor="text1"/>
          <w:sz w:val="16"/>
          <w:szCs w:val="16"/>
        </w:rPr>
      </w:pPr>
      <w:r w:rsidRPr="007B5BCE">
        <w:rPr>
          <w:rFonts w:ascii="Arial" w:hAnsi="Arial" w:cs="Arial"/>
          <w:sz w:val="16"/>
          <w:szCs w:val="16"/>
          <w:lang w:val="en" w:eastAsia="en-GB"/>
        </w:rPr>
        <w:t>UK organisations wishing to continue to make transfers to US organisations under the Privacy Shield if the UK exits the EU without a deal will need to check that the US organisation has made the necessary update to its commitment to compliance with the Privacy Shield. Confirmation of the update should usually be possible simply by checking the US organisation’s publicly available privacy policy.</w:t>
      </w:r>
    </w:p>
    <w:p w14:paraId="44C674CE" w14:textId="77777777" w:rsidR="00F6304B" w:rsidRDefault="00B20574" w:rsidP="007B5BCE">
      <w:pPr>
        <w:shd w:val="clear" w:color="auto" w:fill="FFFFFF"/>
        <w:rPr>
          <w:rFonts w:ascii="Arial" w:hAnsi="Arial" w:cs="Arial"/>
          <w:color w:val="444444"/>
          <w:sz w:val="16"/>
          <w:szCs w:val="16"/>
        </w:rPr>
      </w:pPr>
      <w:hyperlink r:id="rId15" w:history="1">
        <w:r w:rsidR="00F6304B" w:rsidRPr="00466C4C">
          <w:rPr>
            <w:rStyle w:val="Hyperlink"/>
            <w:rFonts w:ascii="Arial" w:hAnsi="Arial" w:cs="Arial"/>
            <w:sz w:val="16"/>
            <w:szCs w:val="16"/>
          </w:rPr>
          <w:t>https://ico.org.uk/for-organisations/data-protection-and-brexit/data-protection-if-there-s-no-brexit-deal/the-gdpr/international-data-transfers/</w:t>
        </w:r>
      </w:hyperlink>
    </w:p>
    <w:p w14:paraId="0EDD058B" w14:textId="058144AA" w:rsidR="00F6304B" w:rsidRDefault="00F630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E6E13A"/>
    <w:multiLevelType w:val="singleLevel"/>
    <w:tmpl w:val="3A102237"/>
    <w:lvl w:ilvl="0">
      <w:numFmt w:val="decimal"/>
      <w:lvlText w:val="•"/>
      <w:lvlJc w:val="left"/>
      <w:rPr>
        <w:rFonts w:cs="Times New Roman"/>
      </w:rPr>
    </w:lvl>
  </w:abstractNum>
  <w:abstractNum w:abstractNumId="1" w15:restartNumberingAfterBreak="0">
    <w:nsid w:val="000038C0"/>
    <w:multiLevelType w:val="hybridMultilevel"/>
    <w:tmpl w:val="A43C4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184190"/>
    <w:multiLevelType w:val="hybridMultilevel"/>
    <w:tmpl w:val="E4482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C47745"/>
    <w:multiLevelType w:val="hybridMultilevel"/>
    <w:tmpl w:val="C7D6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A3CD9"/>
    <w:multiLevelType w:val="hybridMultilevel"/>
    <w:tmpl w:val="CCAC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AD3DCB"/>
    <w:multiLevelType w:val="hybridMultilevel"/>
    <w:tmpl w:val="CBF03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2B58D7"/>
    <w:multiLevelType w:val="hybridMultilevel"/>
    <w:tmpl w:val="EECA8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0273B8"/>
    <w:multiLevelType w:val="hybridMultilevel"/>
    <w:tmpl w:val="70DE57B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23005DD8"/>
    <w:multiLevelType w:val="hybridMultilevel"/>
    <w:tmpl w:val="FC4207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E83508"/>
    <w:multiLevelType w:val="hybridMultilevel"/>
    <w:tmpl w:val="64B2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B60A4"/>
    <w:multiLevelType w:val="hybridMultilevel"/>
    <w:tmpl w:val="A0123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1A3AFE"/>
    <w:multiLevelType w:val="hybridMultilevel"/>
    <w:tmpl w:val="1884F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02560C"/>
    <w:multiLevelType w:val="hybridMultilevel"/>
    <w:tmpl w:val="98F6B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7A4A07"/>
    <w:multiLevelType w:val="hybridMultilevel"/>
    <w:tmpl w:val="6D64FD9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4" w15:restartNumberingAfterBreak="0">
    <w:nsid w:val="529D1320"/>
    <w:multiLevelType w:val="hybridMultilevel"/>
    <w:tmpl w:val="B1A82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FA3658"/>
    <w:multiLevelType w:val="hybridMultilevel"/>
    <w:tmpl w:val="1D4AF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1E54AF"/>
    <w:multiLevelType w:val="hybridMultilevel"/>
    <w:tmpl w:val="2F843B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9E4B8D"/>
    <w:multiLevelType w:val="hybridMultilevel"/>
    <w:tmpl w:val="4ED6C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DA528F"/>
    <w:multiLevelType w:val="hybridMultilevel"/>
    <w:tmpl w:val="0B866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A5E0F"/>
    <w:multiLevelType w:val="multilevel"/>
    <w:tmpl w:val="55D087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color w:val="000000" w:themeColor="text1"/>
        <w:sz w:val="20"/>
      </w:rPr>
    </w:lvl>
    <w:lvl w:ilvl="2">
      <w:start w:val="1"/>
      <w:numFmt w:val="bullet"/>
      <w:lvlText w:val="o"/>
      <w:lvlJc w:val="left"/>
      <w:pPr>
        <w:tabs>
          <w:tab w:val="num" w:pos="3240"/>
        </w:tabs>
        <w:ind w:left="3240" w:hanging="360"/>
      </w:pPr>
      <w:rPr>
        <w:rFonts w:ascii="Courier New" w:hAnsi="Courier New" w:hint="default"/>
        <w:color w:val="000000" w:themeColor="text1"/>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69AF3B59"/>
    <w:multiLevelType w:val="hybridMultilevel"/>
    <w:tmpl w:val="04DE2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451628"/>
    <w:multiLevelType w:val="hybridMultilevel"/>
    <w:tmpl w:val="3E744E7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6A8B23D3"/>
    <w:multiLevelType w:val="hybridMultilevel"/>
    <w:tmpl w:val="0234D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DA34983"/>
    <w:multiLevelType w:val="hybridMultilevel"/>
    <w:tmpl w:val="D0607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C14233"/>
    <w:multiLevelType w:val="hybridMultilevel"/>
    <w:tmpl w:val="B66CBC7E"/>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5" w15:restartNumberingAfterBreak="0">
    <w:nsid w:val="7A073B08"/>
    <w:multiLevelType w:val="hybridMultilevel"/>
    <w:tmpl w:val="CCA6A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FC11B9"/>
    <w:multiLevelType w:val="hybridMultilevel"/>
    <w:tmpl w:val="570CE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C3A3F"/>
    <w:multiLevelType w:val="hybridMultilevel"/>
    <w:tmpl w:val="76DAF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7"/>
  </w:num>
  <w:num w:numId="3">
    <w:abstractNumId w:val="17"/>
  </w:num>
  <w:num w:numId="4">
    <w:abstractNumId w:val="16"/>
  </w:num>
  <w:num w:numId="5">
    <w:abstractNumId w:val="12"/>
  </w:num>
  <w:num w:numId="6">
    <w:abstractNumId w:val="13"/>
  </w:num>
  <w:num w:numId="7">
    <w:abstractNumId w:val="7"/>
  </w:num>
  <w:num w:numId="8">
    <w:abstractNumId w:val="0"/>
  </w:num>
  <w:num w:numId="9">
    <w:abstractNumId w:val="8"/>
  </w:num>
  <w:num w:numId="10">
    <w:abstractNumId w:val="24"/>
  </w:num>
  <w:num w:numId="11">
    <w:abstractNumId w:val="5"/>
  </w:num>
  <w:num w:numId="12">
    <w:abstractNumId w:val="2"/>
  </w:num>
  <w:num w:numId="13">
    <w:abstractNumId w:val="20"/>
  </w:num>
  <w:num w:numId="14">
    <w:abstractNumId w:val="14"/>
  </w:num>
  <w:num w:numId="15">
    <w:abstractNumId w:val="25"/>
  </w:num>
  <w:num w:numId="16">
    <w:abstractNumId w:val="3"/>
  </w:num>
  <w:num w:numId="17">
    <w:abstractNumId w:val="15"/>
  </w:num>
  <w:num w:numId="18">
    <w:abstractNumId w:val="18"/>
  </w:num>
  <w:num w:numId="19">
    <w:abstractNumId w:val="6"/>
  </w:num>
  <w:num w:numId="20">
    <w:abstractNumId w:val="1"/>
  </w:num>
  <w:num w:numId="21">
    <w:abstractNumId w:val="10"/>
  </w:num>
  <w:num w:numId="22">
    <w:abstractNumId w:val="26"/>
  </w:num>
  <w:num w:numId="23">
    <w:abstractNumId w:val="23"/>
  </w:num>
  <w:num w:numId="24">
    <w:abstractNumId w:val="21"/>
  </w:num>
  <w:num w:numId="25">
    <w:abstractNumId w:val="4"/>
  </w:num>
  <w:num w:numId="26">
    <w:abstractNumId w:val="22"/>
  </w:num>
  <w:num w:numId="27">
    <w:abstractNumId w:val="9"/>
  </w:num>
  <w:num w:numId="2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44"/>
    <w:rsid w:val="000059AF"/>
    <w:rsid w:val="00007D67"/>
    <w:rsid w:val="0001665A"/>
    <w:rsid w:val="0002049F"/>
    <w:rsid w:val="000249D9"/>
    <w:rsid w:val="00025E3B"/>
    <w:rsid w:val="00031292"/>
    <w:rsid w:val="000401E8"/>
    <w:rsid w:val="00043150"/>
    <w:rsid w:val="0004636F"/>
    <w:rsid w:val="000509D3"/>
    <w:rsid w:val="00082BAE"/>
    <w:rsid w:val="0009684D"/>
    <w:rsid w:val="000B0257"/>
    <w:rsid w:val="000B330B"/>
    <w:rsid w:val="000B51DC"/>
    <w:rsid w:val="000E42F7"/>
    <w:rsid w:val="00114F6E"/>
    <w:rsid w:val="001D7334"/>
    <w:rsid w:val="001D7A26"/>
    <w:rsid w:val="002012A0"/>
    <w:rsid w:val="00203B18"/>
    <w:rsid w:val="00203FDC"/>
    <w:rsid w:val="00212CEB"/>
    <w:rsid w:val="00241356"/>
    <w:rsid w:val="00246146"/>
    <w:rsid w:val="00247C4B"/>
    <w:rsid w:val="00253D77"/>
    <w:rsid w:val="00260744"/>
    <w:rsid w:val="002813CC"/>
    <w:rsid w:val="002B2EBE"/>
    <w:rsid w:val="002C016F"/>
    <w:rsid w:val="002C0A93"/>
    <w:rsid w:val="002C2B39"/>
    <w:rsid w:val="002E6DA6"/>
    <w:rsid w:val="002F7FFD"/>
    <w:rsid w:val="003336C3"/>
    <w:rsid w:val="00334B38"/>
    <w:rsid w:val="003447E9"/>
    <w:rsid w:val="003454B2"/>
    <w:rsid w:val="003600B4"/>
    <w:rsid w:val="00377935"/>
    <w:rsid w:val="00380590"/>
    <w:rsid w:val="003979A9"/>
    <w:rsid w:val="003B4085"/>
    <w:rsid w:val="003E464A"/>
    <w:rsid w:val="0040662A"/>
    <w:rsid w:val="00443190"/>
    <w:rsid w:val="00484B89"/>
    <w:rsid w:val="0049401F"/>
    <w:rsid w:val="004A1957"/>
    <w:rsid w:val="004B487F"/>
    <w:rsid w:val="004D420E"/>
    <w:rsid w:val="004E261F"/>
    <w:rsid w:val="005056BA"/>
    <w:rsid w:val="0053135E"/>
    <w:rsid w:val="00577144"/>
    <w:rsid w:val="00577C60"/>
    <w:rsid w:val="005A6E91"/>
    <w:rsid w:val="005B7FF6"/>
    <w:rsid w:val="005C40B8"/>
    <w:rsid w:val="005C7E1B"/>
    <w:rsid w:val="005F06C6"/>
    <w:rsid w:val="005F7267"/>
    <w:rsid w:val="005F7911"/>
    <w:rsid w:val="006252B5"/>
    <w:rsid w:val="006A0A00"/>
    <w:rsid w:val="006B722F"/>
    <w:rsid w:val="006C0B3D"/>
    <w:rsid w:val="006E61A8"/>
    <w:rsid w:val="00717457"/>
    <w:rsid w:val="0072177A"/>
    <w:rsid w:val="00743578"/>
    <w:rsid w:val="00755FB9"/>
    <w:rsid w:val="007A585D"/>
    <w:rsid w:val="007B21A7"/>
    <w:rsid w:val="007B5BCE"/>
    <w:rsid w:val="007B7BA2"/>
    <w:rsid w:val="008032D4"/>
    <w:rsid w:val="00820D0E"/>
    <w:rsid w:val="00822105"/>
    <w:rsid w:val="00837614"/>
    <w:rsid w:val="0085283B"/>
    <w:rsid w:val="00887AD7"/>
    <w:rsid w:val="00894268"/>
    <w:rsid w:val="008964F5"/>
    <w:rsid w:val="008A04D7"/>
    <w:rsid w:val="008D08CB"/>
    <w:rsid w:val="008E410E"/>
    <w:rsid w:val="008F09D2"/>
    <w:rsid w:val="00904589"/>
    <w:rsid w:val="00907457"/>
    <w:rsid w:val="00914DFD"/>
    <w:rsid w:val="00923E96"/>
    <w:rsid w:val="009521A7"/>
    <w:rsid w:val="0097760E"/>
    <w:rsid w:val="00982481"/>
    <w:rsid w:val="00987C38"/>
    <w:rsid w:val="00991A04"/>
    <w:rsid w:val="00991ECD"/>
    <w:rsid w:val="0099387E"/>
    <w:rsid w:val="009A2BE1"/>
    <w:rsid w:val="009E2C96"/>
    <w:rsid w:val="009E2E99"/>
    <w:rsid w:val="009F2A0D"/>
    <w:rsid w:val="00A02936"/>
    <w:rsid w:val="00A10416"/>
    <w:rsid w:val="00A10723"/>
    <w:rsid w:val="00A152FB"/>
    <w:rsid w:val="00A546C6"/>
    <w:rsid w:val="00A63058"/>
    <w:rsid w:val="00A76EAF"/>
    <w:rsid w:val="00A96FAD"/>
    <w:rsid w:val="00AA55A7"/>
    <w:rsid w:val="00AB1E1D"/>
    <w:rsid w:val="00AB1F2F"/>
    <w:rsid w:val="00AC1DFB"/>
    <w:rsid w:val="00AD79FA"/>
    <w:rsid w:val="00B10E4C"/>
    <w:rsid w:val="00B20574"/>
    <w:rsid w:val="00B27A6E"/>
    <w:rsid w:val="00B43379"/>
    <w:rsid w:val="00B568DE"/>
    <w:rsid w:val="00B60046"/>
    <w:rsid w:val="00B65922"/>
    <w:rsid w:val="00B706EC"/>
    <w:rsid w:val="00B832A6"/>
    <w:rsid w:val="00BA3253"/>
    <w:rsid w:val="00BB137A"/>
    <w:rsid w:val="00BF15E8"/>
    <w:rsid w:val="00BF2F3C"/>
    <w:rsid w:val="00BF399F"/>
    <w:rsid w:val="00C018AA"/>
    <w:rsid w:val="00C04C0B"/>
    <w:rsid w:val="00C32337"/>
    <w:rsid w:val="00C42A6E"/>
    <w:rsid w:val="00CB67D5"/>
    <w:rsid w:val="00CD7AAD"/>
    <w:rsid w:val="00CE681D"/>
    <w:rsid w:val="00CF565D"/>
    <w:rsid w:val="00D03F02"/>
    <w:rsid w:val="00D42B3D"/>
    <w:rsid w:val="00D86C57"/>
    <w:rsid w:val="00DB5898"/>
    <w:rsid w:val="00DC6823"/>
    <w:rsid w:val="00DD7420"/>
    <w:rsid w:val="00DE1567"/>
    <w:rsid w:val="00DF19A8"/>
    <w:rsid w:val="00E07117"/>
    <w:rsid w:val="00E07566"/>
    <w:rsid w:val="00E41652"/>
    <w:rsid w:val="00E91577"/>
    <w:rsid w:val="00EA1CA7"/>
    <w:rsid w:val="00EB1830"/>
    <w:rsid w:val="00EC2D83"/>
    <w:rsid w:val="00EF6CCD"/>
    <w:rsid w:val="00EF76A7"/>
    <w:rsid w:val="00F0194D"/>
    <w:rsid w:val="00F2021D"/>
    <w:rsid w:val="00F202B1"/>
    <w:rsid w:val="00F26ED9"/>
    <w:rsid w:val="00F42E83"/>
    <w:rsid w:val="00F62745"/>
    <w:rsid w:val="00F6304B"/>
    <w:rsid w:val="00F72099"/>
    <w:rsid w:val="00F8502C"/>
    <w:rsid w:val="00FB75E7"/>
    <w:rsid w:val="00FC17AD"/>
    <w:rsid w:val="00FE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4B014"/>
  <w15:chartTrackingRefBased/>
  <w15:docId w15:val="{8F3E96D5-B376-48CA-9EBA-7A453D8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2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771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447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144"/>
    <w:rPr>
      <w:rFonts w:ascii="Arial" w:eastAsia="Times New Roman" w:hAnsi="Arial" w:cs="Arial"/>
      <w:b/>
      <w:bCs/>
      <w:i/>
      <w:iCs/>
      <w:sz w:val="28"/>
      <w:szCs w:val="28"/>
    </w:rPr>
  </w:style>
  <w:style w:type="character" w:styleId="Hyperlink">
    <w:name w:val="Hyperlink"/>
    <w:rsid w:val="00577144"/>
    <w:rPr>
      <w:color w:val="8634C6"/>
      <w:u w:val="single"/>
    </w:rPr>
  </w:style>
  <w:style w:type="paragraph" w:styleId="NormalWeb">
    <w:name w:val="Normal (Web)"/>
    <w:basedOn w:val="Normal"/>
    <w:uiPriority w:val="99"/>
    <w:rsid w:val="00577144"/>
    <w:pPr>
      <w:spacing w:before="100" w:beforeAutospacing="1" w:after="100" w:afterAutospacing="1"/>
    </w:pPr>
    <w:rPr>
      <w:lang w:eastAsia="en-GB"/>
    </w:rPr>
  </w:style>
  <w:style w:type="character" w:styleId="Strong">
    <w:name w:val="Strong"/>
    <w:basedOn w:val="DefaultParagraphFont"/>
    <w:uiPriority w:val="22"/>
    <w:qFormat/>
    <w:rsid w:val="008032D4"/>
    <w:rPr>
      <w:b/>
      <w:bCs/>
    </w:rPr>
  </w:style>
  <w:style w:type="paragraph" w:styleId="ListParagraph">
    <w:name w:val="List Paragraph"/>
    <w:aliases w:val="F5 List Paragraph,List Paragraph1,Dot pt"/>
    <w:basedOn w:val="Normal"/>
    <w:link w:val="ListParagraphChar"/>
    <w:uiPriority w:val="34"/>
    <w:qFormat/>
    <w:rsid w:val="00A546C6"/>
    <w:pPr>
      <w:ind w:left="720"/>
      <w:contextualSpacing/>
    </w:pPr>
  </w:style>
  <w:style w:type="character" w:customStyle="1" w:styleId="Heading1Char">
    <w:name w:val="Heading 1 Char"/>
    <w:basedOn w:val="DefaultParagraphFont"/>
    <w:link w:val="Heading1"/>
    <w:uiPriority w:val="9"/>
    <w:rsid w:val="007B21A7"/>
    <w:rPr>
      <w:rFonts w:asciiTheme="majorHAnsi" w:eastAsiaTheme="majorEastAsia" w:hAnsiTheme="majorHAnsi" w:cstheme="majorBidi"/>
      <w:color w:val="2E74B5" w:themeColor="accent1" w:themeShade="BF"/>
      <w:sz w:val="32"/>
      <w:szCs w:val="32"/>
    </w:rPr>
  </w:style>
  <w:style w:type="character" w:customStyle="1" w:styleId="dsgvo-number2">
    <w:name w:val="dsgvo-number2"/>
    <w:basedOn w:val="DefaultParagraphFont"/>
    <w:rsid w:val="007B21A7"/>
  </w:style>
  <w:style w:type="character" w:customStyle="1" w:styleId="dsgvo-title">
    <w:name w:val="dsgvo-title"/>
    <w:basedOn w:val="DefaultParagraphFont"/>
    <w:rsid w:val="007B21A7"/>
  </w:style>
  <w:style w:type="character" w:styleId="CommentReference">
    <w:name w:val="annotation reference"/>
    <w:basedOn w:val="DefaultParagraphFont"/>
    <w:uiPriority w:val="99"/>
    <w:semiHidden/>
    <w:unhideWhenUsed/>
    <w:rsid w:val="00EB1830"/>
    <w:rPr>
      <w:sz w:val="16"/>
      <w:szCs w:val="16"/>
    </w:rPr>
  </w:style>
  <w:style w:type="paragraph" w:styleId="CommentText">
    <w:name w:val="annotation text"/>
    <w:basedOn w:val="Normal"/>
    <w:link w:val="CommentTextChar"/>
    <w:uiPriority w:val="99"/>
    <w:semiHidden/>
    <w:unhideWhenUsed/>
    <w:rsid w:val="00EB1830"/>
    <w:rPr>
      <w:sz w:val="20"/>
      <w:szCs w:val="20"/>
    </w:rPr>
  </w:style>
  <w:style w:type="character" w:customStyle="1" w:styleId="CommentTextChar">
    <w:name w:val="Comment Text Char"/>
    <w:basedOn w:val="DefaultParagraphFont"/>
    <w:link w:val="CommentText"/>
    <w:uiPriority w:val="99"/>
    <w:semiHidden/>
    <w:rsid w:val="00EB1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1830"/>
    <w:rPr>
      <w:b/>
      <w:bCs/>
    </w:rPr>
  </w:style>
  <w:style w:type="character" w:customStyle="1" w:styleId="CommentSubjectChar">
    <w:name w:val="Comment Subject Char"/>
    <w:basedOn w:val="CommentTextChar"/>
    <w:link w:val="CommentSubject"/>
    <w:uiPriority w:val="99"/>
    <w:semiHidden/>
    <w:rsid w:val="00EB18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1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30"/>
    <w:rPr>
      <w:rFonts w:ascii="Segoe UI" w:eastAsia="Times New Roman" w:hAnsi="Segoe UI" w:cs="Segoe UI"/>
      <w:sz w:val="18"/>
      <w:szCs w:val="18"/>
    </w:rPr>
  </w:style>
  <w:style w:type="paragraph" w:styleId="FootnoteText">
    <w:name w:val="footnote text"/>
    <w:basedOn w:val="Normal"/>
    <w:link w:val="FootnoteTextChar"/>
    <w:unhideWhenUsed/>
    <w:rsid w:val="00F0194D"/>
    <w:rPr>
      <w:sz w:val="20"/>
      <w:szCs w:val="20"/>
    </w:rPr>
  </w:style>
  <w:style w:type="character" w:customStyle="1" w:styleId="FootnoteTextChar">
    <w:name w:val="Footnote Text Char"/>
    <w:basedOn w:val="DefaultParagraphFont"/>
    <w:link w:val="FootnoteText"/>
    <w:rsid w:val="00F0194D"/>
    <w:rPr>
      <w:rFonts w:ascii="Times New Roman" w:eastAsia="Times New Roman" w:hAnsi="Times New Roman" w:cs="Times New Roman"/>
      <w:sz w:val="20"/>
      <w:szCs w:val="20"/>
    </w:rPr>
  </w:style>
  <w:style w:type="character" w:styleId="FootnoteReference">
    <w:name w:val="footnote reference"/>
    <w:basedOn w:val="DefaultParagraphFont"/>
    <w:unhideWhenUsed/>
    <w:rsid w:val="00F0194D"/>
    <w:rPr>
      <w:vertAlign w:val="superscript"/>
    </w:rPr>
  </w:style>
  <w:style w:type="character" w:styleId="FollowedHyperlink">
    <w:name w:val="FollowedHyperlink"/>
    <w:basedOn w:val="DefaultParagraphFont"/>
    <w:uiPriority w:val="99"/>
    <w:semiHidden/>
    <w:unhideWhenUsed/>
    <w:rsid w:val="00F0194D"/>
    <w:rPr>
      <w:color w:val="954F72" w:themeColor="followedHyperlink"/>
      <w:u w:val="single"/>
    </w:rPr>
  </w:style>
  <w:style w:type="character" w:styleId="Emphasis">
    <w:name w:val="Emphasis"/>
    <w:basedOn w:val="DefaultParagraphFont"/>
    <w:uiPriority w:val="20"/>
    <w:qFormat/>
    <w:rsid w:val="004A1957"/>
    <w:rPr>
      <w:i/>
      <w:iCs/>
    </w:rPr>
  </w:style>
  <w:style w:type="character" w:customStyle="1" w:styleId="Heading3Char">
    <w:name w:val="Heading 3 Char"/>
    <w:basedOn w:val="DefaultParagraphFont"/>
    <w:link w:val="Heading3"/>
    <w:uiPriority w:val="9"/>
    <w:semiHidden/>
    <w:rsid w:val="003447E9"/>
    <w:rPr>
      <w:rFonts w:asciiTheme="majorHAnsi" w:eastAsiaTheme="majorEastAsia" w:hAnsiTheme="majorHAnsi" w:cstheme="majorBidi"/>
      <w:color w:val="1F4D78" w:themeColor="accent1" w:themeShade="7F"/>
      <w:sz w:val="24"/>
      <w:szCs w:val="24"/>
    </w:rPr>
  </w:style>
  <w:style w:type="paragraph" w:customStyle="1" w:styleId="c01pointnumerotealtn">
    <w:name w:val="c01pointnumerotealtn"/>
    <w:basedOn w:val="Normal"/>
    <w:rsid w:val="00914DFD"/>
    <w:pPr>
      <w:spacing w:before="100" w:beforeAutospacing="1" w:after="100" w:afterAutospacing="1"/>
    </w:pPr>
    <w:rPr>
      <w:lang w:eastAsia="en-GB"/>
    </w:rPr>
  </w:style>
  <w:style w:type="paragraph" w:styleId="Header">
    <w:name w:val="header"/>
    <w:basedOn w:val="Normal"/>
    <w:link w:val="HeaderChar"/>
    <w:uiPriority w:val="99"/>
    <w:unhideWhenUsed/>
    <w:rsid w:val="00F72099"/>
    <w:pPr>
      <w:tabs>
        <w:tab w:val="center" w:pos="4513"/>
        <w:tab w:val="right" w:pos="9026"/>
      </w:tabs>
    </w:pPr>
  </w:style>
  <w:style w:type="character" w:customStyle="1" w:styleId="HeaderChar">
    <w:name w:val="Header Char"/>
    <w:basedOn w:val="DefaultParagraphFont"/>
    <w:link w:val="Header"/>
    <w:uiPriority w:val="99"/>
    <w:rsid w:val="00F720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099"/>
    <w:pPr>
      <w:tabs>
        <w:tab w:val="center" w:pos="4513"/>
        <w:tab w:val="right" w:pos="9026"/>
      </w:tabs>
    </w:pPr>
  </w:style>
  <w:style w:type="character" w:customStyle="1" w:styleId="FooterChar">
    <w:name w:val="Footer Char"/>
    <w:basedOn w:val="DefaultParagraphFont"/>
    <w:link w:val="Footer"/>
    <w:uiPriority w:val="99"/>
    <w:rsid w:val="00F72099"/>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Dot pt Char"/>
    <w:link w:val="ListParagraph"/>
    <w:uiPriority w:val="34"/>
    <w:locked/>
    <w:rsid w:val="008D08CB"/>
    <w:rPr>
      <w:rFonts w:ascii="Times New Roman" w:eastAsia="Times New Roman" w:hAnsi="Times New Roman" w:cs="Times New Roman"/>
      <w:sz w:val="24"/>
      <w:szCs w:val="24"/>
    </w:rPr>
  </w:style>
  <w:style w:type="paragraph" w:customStyle="1" w:styleId="m5977808608576364428m-5524379592342800472m2138839479670285487m-2907586556014757812m-3598785474161157738m-8739826704027602240msolistparagraph">
    <w:name w:val="m_5977808608576364428m_-5524379592342800472m_2138839479670285487m_-2907586556014757812m_-3598785474161157738m_-8739826704027602240msolistparagraph"/>
    <w:basedOn w:val="Normal"/>
    <w:rsid w:val="008D08C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92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89">
          <w:marLeft w:val="0"/>
          <w:marRight w:val="0"/>
          <w:marTop w:val="0"/>
          <w:marBottom w:val="0"/>
          <w:divBdr>
            <w:top w:val="none" w:sz="0" w:space="0" w:color="auto"/>
            <w:left w:val="none" w:sz="0" w:space="0" w:color="auto"/>
            <w:bottom w:val="none" w:sz="0" w:space="0" w:color="auto"/>
            <w:right w:val="none" w:sz="0" w:space="0" w:color="auto"/>
          </w:divBdr>
          <w:divsChild>
            <w:div w:id="2137870821">
              <w:marLeft w:val="0"/>
              <w:marRight w:val="0"/>
              <w:marTop w:val="0"/>
              <w:marBottom w:val="0"/>
              <w:divBdr>
                <w:top w:val="none" w:sz="0" w:space="0" w:color="auto"/>
                <w:left w:val="none" w:sz="0" w:space="0" w:color="auto"/>
                <w:bottom w:val="none" w:sz="0" w:space="0" w:color="auto"/>
                <w:right w:val="none" w:sz="0" w:space="0" w:color="auto"/>
              </w:divBdr>
              <w:divsChild>
                <w:div w:id="1863588188">
                  <w:marLeft w:val="0"/>
                  <w:marRight w:val="0"/>
                  <w:marTop w:val="0"/>
                  <w:marBottom w:val="0"/>
                  <w:divBdr>
                    <w:top w:val="none" w:sz="0" w:space="0" w:color="auto"/>
                    <w:left w:val="none" w:sz="0" w:space="0" w:color="auto"/>
                    <w:bottom w:val="none" w:sz="0" w:space="0" w:color="auto"/>
                    <w:right w:val="none" w:sz="0" w:space="0" w:color="auto"/>
                  </w:divBdr>
                  <w:divsChild>
                    <w:div w:id="1496415106">
                      <w:marLeft w:val="0"/>
                      <w:marRight w:val="0"/>
                      <w:marTop w:val="0"/>
                      <w:marBottom w:val="0"/>
                      <w:divBdr>
                        <w:top w:val="none" w:sz="0" w:space="0" w:color="auto"/>
                        <w:left w:val="none" w:sz="0" w:space="0" w:color="auto"/>
                        <w:bottom w:val="none" w:sz="0" w:space="0" w:color="auto"/>
                        <w:right w:val="none" w:sz="0" w:space="0" w:color="auto"/>
                      </w:divBdr>
                    </w:div>
                    <w:div w:id="187181548">
                      <w:marLeft w:val="0"/>
                      <w:marRight w:val="0"/>
                      <w:marTop w:val="0"/>
                      <w:marBottom w:val="0"/>
                      <w:divBdr>
                        <w:top w:val="none" w:sz="0" w:space="0" w:color="auto"/>
                        <w:left w:val="none" w:sz="0" w:space="0" w:color="auto"/>
                        <w:bottom w:val="none" w:sz="0" w:space="0" w:color="auto"/>
                        <w:right w:val="none" w:sz="0" w:space="0" w:color="auto"/>
                      </w:divBdr>
                    </w:div>
                    <w:div w:id="2072075204">
                      <w:marLeft w:val="0"/>
                      <w:marRight w:val="0"/>
                      <w:marTop w:val="0"/>
                      <w:marBottom w:val="0"/>
                      <w:divBdr>
                        <w:top w:val="none" w:sz="0" w:space="0" w:color="auto"/>
                        <w:left w:val="none" w:sz="0" w:space="0" w:color="auto"/>
                        <w:bottom w:val="none" w:sz="0" w:space="0" w:color="auto"/>
                        <w:right w:val="none" w:sz="0" w:space="0" w:color="auto"/>
                      </w:divBdr>
                    </w:div>
                    <w:div w:id="6660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239">
      <w:bodyDiv w:val="1"/>
      <w:marLeft w:val="0"/>
      <w:marRight w:val="0"/>
      <w:marTop w:val="0"/>
      <w:marBottom w:val="0"/>
      <w:divBdr>
        <w:top w:val="none" w:sz="0" w:space="0" w:color="auto"/>
        <w:left w:val="none" w:sz="0" w:space="0" w:color="auto"/>
        <w:bottom w:val="none" w:sz="0" w:space="0" w:color="auto"/>
        <w:right w:val="none" w:sz="0" w:space="0" w:color="auto"/>
      </w:divBdr>
      <w:divsChild>
        <w:div w:id="1977443695">
          <w:marLeft w:val="0"/>
          <w:marRight w:val="0"/>
          <w:marTop w:val="0"/>
          <w:marBottom w:val="0"/>
          <w:divBdr>
            <w:top w:val="none" w:sz="0" w:space="0" w:color="auto"/>
            <w:left w:val="none" w:sz="0" w:space="0" w:color="auto"/>
            <w:bottom w:val="none" w:sz="0" w:space="0" w:color="auto"/>
            <w:right w:val="none" w:sz="0" w:space="0" w:color="auto"/>
          </w:divBdr>
          <w:divsChild>
            <w:div w:id="688721677">
              <w:marLeft w:val="0"/>
              <w:marRight w:val="0"/>
              <w:marTop w:val="0"/>
              <w:marBottom w:val="0"/>
              <w:divBdr>
                <w:top w:val="none" w:sz="0" w:space="0" w:color="auto"/>
                <w:left w:val="none" w:sz="0" w:space="0" w:color="auto"/>
                <w:bottom w:val="none" w:sz="0" w:space="0" w:color="auto"/>
                <w:right w:val="none" w:sz="0" w:space="0" w:color="auto"/>
              </w:divBdr>
              <w:divsChild>
                <w:div w:id="10429417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6789634">
      <w:bodyDiv w:val="1"/>
      <w:marLeft w:val="0"/>
      <w:marRight w:val="0"/>
      <w:marTop w:val="0"/>
      <w:marBottom w:val="0"/>
      <w:divBdr>
        <w:top w:val="none" w:sz="0" w:space="0" w:color="auto"/>
        <w:left w:val="none" w:sz="0" w:space="0" w:color="auto"/>
        <w:bottom w:val="none" w:sz="0" w:space="0" w:color="auto"/>
        <w:right w:val="none" w:sz="0" w:space="0" w:color="auto"/>
      </w:divBdr>
    </w:div>
    <w:div w:id="508914552">
      <w:bodyDiv w:val="1"/>
      <w:marLeft w:val="0"/>
      <w:marRight w:val="0"/>
      <w:marTop w:val="0"/>
      <w:marBottom w:val="0"/>
      <w:divBdr>
        <w:top w:val="none" w:sz="0" w:space="0" w:color="auto"/>
        <w:left w:val="none" w:sz="0" w:space="0" w:color="auto"/>
        <w:bottom w:val="none" w:sz="0" w:space="0" w:color="auto"/>
        <w:right w:val="none" w:sz="0" w:space="0" w:color="auto"/>
      </w:divBdr>
      <w:divsChild>
        <w:div w:id="1863014513">
          <w:marLeft w:val="0"/>
          <w:marRight w:val="0"/>
          <w:marTop w:val="0"/>
          <w:marBottom w:val="0"/>
          <w:divBdr>
            <w:top w:val="none" w:sz="0" w:space="0" w:color="auto"/>
            <w:left w:val="none" w:sz="0" w:space="0" w:color="auto"/>
            <w:bottom w:val="none" w:sz="0" w:space="0" w:color="auto"/>
            <w:right w:val="none" w:sz="0" w:space="0" w:color="auto"/>
          </w:divBdr>
          <w:divsChild>
            <w:div w:id="1353148194">
              <w:marLeft w:val="0"/>
              <w:marRight w:val="0"/>
              <w:marTop w:val="0"/>
              <w:marBottom w:val="0"/>
              <w:divBdr>
                <w:top w:val="none" w:sz="0" w:space="0" w:color="auto"/>
                <w:left w:val="none" w:sz="0" w:space="0" w:color="auto"/>
                <w:bottom w:val="none" w:sz="0" w:space="0" w:color="auto"/>
                <w:right w:val="none" w:sz="0" w:space="0" w:color="auto"/>
              </w:divBdr>
            </w:div>
            <w:div w:id="668753088">
              <w:marLeft w:val="300"/>
              <w:marRight w:val="0"/>
              <w:marTop w:val="0"/>
              <w:marBottom w:val="0"/>
              <w:divBdr>
                <w:top w:val="none" w:sz="0" w:space="0" w:color="auto"/>
                <w:left w:val="none" w:sz="0" w:space="0" w:color="auto"/>
                <w:bottom w:val="none" w:sz="0" w:space="0" w:color="auto"/>
                <w:right w:val="none" w:sz="0" w:space="0" w:color="auto"/>
              </w:divBdr>
            </w:div>
            <w:div w:id="1670402158">
              <w:marLeft w:val="300"/>
              <w:marRight w:val="0"/>
              <w:marTop w:val="0"/>
              <w:marBottom w:val="0"/>
              <w:divBdr>
                <w:top w:val="none" w:sz="0" w:space="0" w:color="auto"/>
                <w:left w:val="none" w:sz="0" w:space="0" w:color="auto"/>
                <w:bottom w:val="none" w:sz="0" w:space="0" w:color="auto"/>
                <w:right w:val="none" w:sz="0" w:space="0" w:color="auto"/>
              </w:divBdr>
            </w:div>
            <w:div w:id="716005408">
              <w:marLeft w:val="0"/>
              <w:marRight w:val="0"/>
              <w:marTop w:val="0"/>
              <w:marBottom w:val="0"/>
              <w:divBdr>
                <w:top w:val="none" w:sz="0" w:space="0" w:color="auto"/>
                <w:left w:val="none" w:sz="0" w:space="0" w:color="auto"/>
                <w:bottom w:val="none" w:sz="0" w:space="0" w:color="auto"/>
                <w:right w:val="none" w:sz="0" w:space="0" w:color="auto"/>
              </w:divBdr>
            </w:div>
            <w:div w:id="1268922362">
              <w:marLeft w:val="60"/>
              <w:marRight w:val="0"/>
              <w:marTop w:val="0"/>
              <w:marBottom w:val="0"/>
              <w:divBdr>
                <w:top w:val="none" w:sz="0" w:space="0" w:color="auto"/>
                <w:left w:val="none" w:sz="0" w:space="0" w:color="auto"/>
                <w:bottom w:val="none" w:sz="0" w:space="0" w:color="auto"/>
                <w:right w:val="none" w:sz="0" w:space="0" w:color="auto"/>
              </w:divBdr>
            </w:div>
          </w:divsChild>
        </w:div>
        <w:div w:id="1907718674">
          <w:marLeft w:val="0"/>
          <w:marRight w:val="0"/>
          <w:marTop w:val="0"/>
          <w:marBottom w:val="0"/>
          <w:divBdr>
            <w:top w:val="none" w:sz="0" w:space="0" w:color="auto"/>
            <w:left w:val="none" w:sz="0" w:space="0" w:color="auto"/>
            <w:bottom w:val="none" w:sz="0" w:space="0" w:color="auto"/>
            <w:right w:val="none" w:sz="0" w:space="0" w:color="auto"/>
          </w:divBdr>
          <w:divsChild>
            <w:div w:id="1689521599">
              <w:marLeft w:val="0"/>
              <w:marRight w:val="0"/>
              <w:marTop w:val="120"/>
              <w:marBottom w:val="0"/>
              <w:divBdr>
                <w:top w:val="none" w:sz="0" w:space="0" w:color="auto"/>
                <w:left w:val="none" w:sz="0" w:space="0" w:color="auto"/>
                <w:bottom w:val="none" w:sz="0" w:space="0" w:color="auto"/>
                <w:right w:val="none" w:sz="0" w:space="0" w:color="auto"/>
              </w:divBdr>
              <w:divsChild>
                <w:div w:id="756485540">
                  <w:marLeft w:val="0"/>
                  <w:marRight w:val="0"/>
                  <w:marTop w:val="0"/>
                  <w:marBottom w:val="0"/>
                  <w:divBdr>
                    <w:top w:val="none" w:sz="0" w:space="0" w:color="auto"/>
                    <w:left w:val="none" w:sz="0" w:space="0" w:color="auto"/>
                    <w:bottom w:val="none" w:sz="0" w:space="0" w:color="auto"/>
                    <w:right w:val="none" w:sz="0" w:space="0" w:color="auto"/>
                  </w:divBdr>
                  <w:divsChild>
                    <w:div w:id="700401840">
                      <w:marLeft w:val="0"/>
                      <w:marRight w:val="0"/>
                      <w:marTop w:val="0"/>
                      <w:marBottom w:val="0"/>
                      <w:divBdr>
                        <w:top w:val="none" w:sz="0" w:space="0" w:color="auto"/>
                        <w:left w:val="none" w:sz="0" w:space="0" w:color="auto"/>
                        <w:bottom w:val="none" w:sz="0" w:space="0" w:color="auto"/>
                        <w:right w:val="none" w:sz="0" w:space="0" w:color="auto"/>
                      </w:divBdr>
                      <w:divsChild>
                        <w:div w:id="2967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91749">
      <w:bodyDiv w:val="1"/>
      <w:marLeft w:val="0"/>
      <w:marRight w:val="0"/>
      <w:marTop w:val="0"/>
      <w:marBottom w:val="0"/>
      <w:divBdr>
        <w:top w:val="none" w:sz="0" w:space="0" w:color="auto"/>
        <w:left w:val="none" w:sz="0" w:space="0" w:color="auto"/>
        <w:bottom w:val="none" w:sz="0" w:space="0" w:color="auto"/>
        <w:right w:val="none" w:sz="0" w:space="0" w:color="auto"/>
      </w:divBdr>
      <w:divsChild>
        <w:div w:id="1101416117">
          <w:marLeft w:val="0"/>
          <w:marRight w:val="0"/>
          <w:marTop w:val="0"/>
          <w:marBottom w:val="0"/>
          <w:divBdr>
            <w:top w:val="none" w:sz="0" w:space="0" w:color="auto"/>
            <w:left w:val="none" w:sz="0" w:space="0" w:color="auto"/>
            <w:bottom w:val="none" w:sz="0" w:space="0" w:color="auto"/>
            <w:right w:val="none" w:sz="0" w:space="0" w:color="auto"/>
          </w:divBdr>
          <w:divsChild>
            <w:div w:id="1199702288">
              <w:marLeft w:val="0"/>
              <w:marRight w:val="0"/>
              <w:marTop w:val="0"/>
              <w:marBottom w:val="0"/>
              <w:divBdr>
                <w:top w:val="none" w:sz="0" w:space="0" w:color="auto"/>
                <w:left w:val="none" w:sz="0" w:space="0" w:color="auto"/>
                <w:bottom w:val="none" w:sz="0" w:space="0" w:color="auto"/>
                <w:right w:val="none" w:sz="0" w:space="0" w:color="auto"/>
              </w:divBdr>
              <w:divsChild>
                <w:div w:id="14315857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0749678">
      <w:bodyDiv w:val="1"/>
      <w:marLeft w:val="0"/>
      <w:marRight w:val="0"/>
      <w:marTop w:val="0"/>
      <w:marBottom w:val="0"/>
      <w:divBdr>
        <w:top w:val="none" w:sz="0" w:space="0" w:color="auto"/>
        <w:left w:val="none" w:sz="0" w:space="0" w:color="auto"/>
        <w:bottom w:val="none" w:sz="0" w:space="0" w:color="auto"/>
        <w:right w:val="none" w:sz="0" w:space="0" w:color="auto"/>
      </w:divBdr>
      <w:divsChild>
        <w:div w:id="809321648">
          <w:marLeft w:val="0"/>
          <w:marRight w:val="0"/>
          <w:marTop w:val="0"/>
          <w:marBottom w:val="0"/>
          <w:divBdr>
            <w:top w:val="none" w:sz="0" w:space="0" w:color="auto"/>
            <w:left w:val="none" w:sz="0" w:space="0" w:color="auto"/>
            <w:bottom w:val="none" w:sz="0" w:space="0" w:color="auto"/>
            <w:right w:val="none" w:sz="0" w:space="0" w:color="auto"/>
          </w:divBdr>
          <w:divsChild>
            <w:div w:id="109670442">
              <w:marLeft w:val="0"/>
              <w:marRight w:val="0"/>
              <w:marTop w:val="0"/>
              <w:marBottom w:val="0"/>
              <w:divBdr>
                <w:top w:val="none" w:sz="0" w:space="0" w:color="auto"/>
                <w:left w:val="none" w:sz="0" w:space="0" w:color="auto"/>
                <w:bottom w:val="none" w:sz="0" w:space="0" w:color="auto"/>
                <w:right w:val="none" w:sz="0" w:space="0" w:color="auto"/>
              </w:divBdr>
              <w:divsChild>
                <w:div w:id="1587417273">
                  <w:marLeft w:val="0"/>
                  <w:marRight w:val="0"/>
                  <w:marTop w:val="0"/>
                  <w:marBottom w:val="0"/>
                  <w:divBdr>
                    <w:top w:val="none" w:sz="0" w:space="0" w:color="auto"/>
                    <w:left w:val="none" w:sz="0" w:space="0" w:color="auto"/>
                    <w:bottom w:val="none" w:sz="0" w:space="0" w:color="auto"/>
                    <w:right w:val="none" w:sz="0" w:space="0" w:color="auto"/>
                  </w:divBdr>
                  <w:divsChild>
                    <w:div w:id="16754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9356">
      <w:bodyDiv w:val="1"/>
      <w:marLeft w:val="0"/>
      <w:marRight w:val="0"/>
      <w:marTop w:val="0"/>
      <w:marBottom w:val="0"/>
      <w:divBdr>
        <w:top w:val="none" w:sz="0" w:space="0" w:color="auto"/>
        <w:left w:val="none" w:sz="0" w:space="0" w:color="auto"/>
        <w:bottom w:val="none" w:sz="0" w:space="0" w:color="auto"/>
        <w:right w:val="none" w:sz="0" w:space="0" w:color="auto"/>
      </w:divBdr>
      <w:divsChild>
        <w:div w:id="1098406139">
          <w:marLeft w:val="0"/>
          <w:marRight w:val="0"/>
          <w:marTop w:val="0"/>
          <w:marBottom w:val="0"/>
          <w:divBdr>
            <w:top w:val="none" w:sz="0" w:space="0" w:color="auto"/>
            <w:left w:val="none" w:sz="0" w:space="0" w:color="auto"/>
            <w:bottom w:val="none" w:sz="0" w:space="0" w:color="auto"/>
            <w:right w:val="none" w:sz="0" w:space="0" w:color="auto"/>
          </w:divBdr>
          <w:divsChild>
            <w:div w:id="1348213493">
              <w:marLeft w:val="0"/>
              <w:marRight w:val="0"/>
              <w:marTop w:val="0"/>
              <w:marBottom w:val="0"/>
              <w:divBdr>
                <w:top w:val="none" w:sz="0" w:space="0" w:color="auto"/>
                <w:left w:val="none" w:sz="0" w:space="0" w:color="auto"/>
                <w:bottom w:val="none" w:sz="0" w:space="0" w:color="auto"/>
                <w:right w:val="none" w:sz="0" w:space="0" w:color="auto"/>
              </w:divBdr>
              <w:divsChild>
                <w:div w:id="177549461">
                  <w:marLeft w:val="0"/>
                  <w:marRight w:val="0"/>
                  <w:marTop w:val="0"/>
                  <w:marBottom w:val="0"/>
                  <w:divBdr>
                    <w:top w:val="none" w:sz="0" w:space="0" w:color="auto"/>
                    <w:left w:val="none" w:sz="0" w:space="0" w:color="auto"/>
                    <w:bottom w:val="none" w:sz="0" w:space="0" w:color="auto"/>
                    <w:right w:val="none" w:sz="0" w:space="0" w:color="auto"/>
                  </w:divBdr>
                  <w:divsChild>
                    <w:div w:id="2453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4446">
      <w:bodyDiv w:val="1"/>
      <w:marLeft w:val="0"/>
      <w:marRight w:val="0"/>
      <w:marTop w:val="0"/>
      <w:marBottom w:val="0"/>
      <w:divBdr>
        <w:top w:val="none" w:sz="0" w:space="0" w:color="auto"/>
        <w:left w:val="none" w:sz="0" w:space="0" w:color="auto"/>
        <w:bottom w:val="none" w:sz="0" w:space="0" w:color="auto"/>
        <w:right w:val="none" w:sz="0" w:space="0" w:color="auto"/>
      </w:divBdr>
      <w:divsChild>
        <w:div w:id="109590857">
          <w:marLeft w:val="0"/>
          <w:marRight w:val="0"/>
          <w:marTop w:val="0"/>
          <w:marBottom w:val="0"/>
          <w:divBdr>
            <w:top w:val="none" w:sz="0" w:space="0" w:color="auto"/>
            <w:left w:val="none" w:sz="0" w:space="0" w:color="auto"/>
            <w:bottom w:val="none" w:sz="0" w:space="0" w:color="auto"/>
            <w:right w:val="none" w:sz="0" w:space="0" w:color="auto"/>
          </w:divBdr>
          <w:divsChild>
            <w:div w:id="1655061708">
              <w:marLeft w:val="0"/>
              <w:marRight w:val="0"/>
              <w:marTop w:val="0"/>
              <w:marBottom w:val="0"/>
              <w:divBdr>
                <w:top w:val="none" w:sz="0" w:space="0" w:color="auto"/>
                <w:left w:val="none" w:sz="0" w:space="0" w:color="auto"/>
                <w:bottom w:val="none" w:sz="0" w:space="0" w:color="auto"/>
                <w:right w:val="none" w:sz="0" w:space="0" w:color="auto"/>
              </w:divBdr>
              <w:divsChild>
                <w:div w:id="15518410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3290875">
      <w:bodyDiv w:val="1"/>
      <w:marLeft w:val="0"/>
      <w:marRight w:val="0"/>
      <w:marTop w:val="0"/>
      <w:marBottom w:val="0"/>
      <w:divBdr>
        <w:top w:val="none" w:sz="0" w:space="0" w:color="auto"/>
        <w:left w:val="none" w:sz="0" w:space="0" w:color="auto"/>
        <w:bottom w:val="none" w:sz="0" w:space="0" w:color="auto"/>
        <w:right w:val="none" w:sz="0" w:space="0" w:color="auto"/>
      </w:divBdr>
      <w:divsChild>
        <w:div w:id="1904021748">
          <w:marLeft w:val="0"/>
          <w:marRight w:val="0"/>
          <w:marTop w:val="0"/>
          <w:marBottom w:val="0"/>
          <w:divBdr>
            <w:top w:val="none" w:sz="0" w:space="0" w:color="auto"/>
            <w:left w:val="none" w:sz="0" w:space="0" w:color="auto"/>
            <w:bottom w:val="none" w:sz="0" w:space="0" w:color="auto"/>
            <w:right w:val="none" w:sz="0" w:space="0" w:color="auto"/>
          </w:divBdr>
          <w:divsChild>
            <w:div w:id="441533574">
              <w:marLeft w:val="0"/>
              <w:marRight w:val="0"/>
              <w:marTop w:val="0"/>
              <w:marBottom w:val="0"/>
              <w:divBdr>
                <w:top w:val="none" w:sz="0" w:space="0" w:color="auto"/>
                <w:left w:val="none" w:sz="0" w:space="0" w:color="auto"/>
                <w:bottom w:val="none" w:sz="0" w:space="0" w:color="auto"/>
                <w:right w:val="none" w:sz="0" w:space="0" w:color="auto"/>
              </w:divBdr>
              <w:divsChild>
                <w:div w:id="4832038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3402006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13">
          <w:marLeft w:val="0"/>
          <w:marRight w:val="0"/>
          <w:marTop w:val="0"/>
          <w:marBottom w:val="0"/>
          <w:divBdr>
            <w:top w:val="none" w:sz="0" w:space="0" w:color="auto"/>
            <w:left w:val="none" w:sz="0" w:space="0" w:color="auto"/>
            <w:bottom w:val="none" w:sz="0" w:space="0" w:color="auto"/>
            <w:right w:val="none" w:sz="0" w:space="0" w:color="auto"/>
          </w:divBdr>
          <w:divsChild>
            <w:div w:id="665935443">
              <w:marLeft w:val="0"/>
              <w:marRight w:val="0"/>
              <w:marTop w:val="0"/>
              <w:marBottom w:val="0"/>
              <w:divBdr>
                <w:top w:val="none" w:sz="0" w:space="0" w:color="auto"/>
                <w:left w:val="none" w:sz="0" w:space="0" w:color="auto"/>
                <w:bottom w:val="none" w:sz="0" w:space="0" w:color="auto"/>
                <w:right w:val="none" w:sz="0" w:space="0" w:color="auto"/>
              </w:divBdr>
              <w:divsChild>
                <w:div w:id="18676763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4302896">
      <w:bodyDiv w:val="1"/>
      <w:marLeft w:val="0"/>
      <w:marRight w:val="0"/>
      <w:marTop w:val="0"/>
      <w:marBottom w:val="0"/>
      <w:divBdr>
        <w:top w:val="none" w:sz="0" w:space="0" w:color="auto"/>
        <w:left w:val="none" w:sz="0" w:space="0" w:color="auto"/>
        <w:bottom w:val="none" w:sz="0" w:space="0" w:color="auto"/>
        <w:right w:val="none" w:sz="0" w:space="0" w:color="auto"/>
      </w:divBdr>
      <w:divsChild>
        <w:div w:id="74404509">
          <w:marLeft w:val="0"/>
          <w:marRight w:val="0"/>
          <w:marTop w:val="0"/>
          <w:marBottom w:val="0"/>
          <w:divBdr>
            <w:top w:val="none" w:sz="0" w:space="0" w:color="auto"/>
            <w:left w:val="none" w:sz="0" w:space="0" w:color="auto"/>
            <w:bottom w:val="none" w:sz="0" w:space="0" w:color="auto"/>
            <w:right w:val="none" w:sz="0" w:space="0" w:color="auto"/>
          </w:divBdr>
          <w:divsChild>
            <w:div w:id="1727559471">
              <w:marLeft w:val="0"/>
              <w:marRight w:val="0"/>
              <w:marTop w:val="0"/>
              <w:marBottom w:val="0"/>
              <w:divBdr>
                <w:top w:val="none" w:sz="0" w:space="0" w:color="auto"/>
                <w:left w:val="none" w:sz="0" w:space="0" w:color="auto"/>
                <w:bottom w:val="none" w:sz="0" w:space="0" w:color="auto"/>
                <w:right w:val="none" w:sz="0" w:space="0" w:color="auto"/>
              </w:divBdr>
              <w:divsChild>
                <w:div w:id="16633922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7798067">
      <w:bodyDiv w:val="1"/>
      <w:marLeft w:val="0"/>
      <w:marRight w:val="0"/>
      <w:marTop w:val="0"/>
      <w:marBottom w:val="0"/>
      <w:divBdr>
        <w:top w:val="none" w:sz="0" w:space="0" w:color="auto"/>
        <w:left w:val="none" w:sz="0" w:space="0" w:color="auto"/>
        <w:bottom w:val="none" w:sz="0" w:space="0" w:color="auto"/>
        <w:right w:val="none" w:sz="0" w:space="0" w:color="auto"/>
      </w:divBdr>
      <w:divsChild>
        <w:div w:id="1259369850">
          <w:marLeft w:val="0"/>
          <w:marRight w:val="0"/>
          <w:marTop w:val="0"/>
          <w:marBottom w:val="0"/>
          <w:divBdr>
            <w:top w:val="none" w:sz="0" w:space="0" w:color="auto"/>
            <w:left w:val="none" w:sz="0" w:space="0" w:color="auto"/>
            <w:bottom w:val="none" w:sz="0" w:space="0" w:color="auto"/>
            <w:right w:val="none" w:sz="0" w:space="0" w:color="auto"/>
          </w:divBdr>
          <w:divsChild>
            <w:div w:id="1946382753">
              <w:marLeft w:val="0"/>
              <w:marRight w:val="0"/>
              <w:marTop w:val="0"/>
              <w:marBottom w:val="0"/>
              <w:divBdr>
                <w:top w:val="none" w:sz="0" w:space="0" w:color="auto"/>
                <w:left w:val="none" w:sz="0" w:space="0" w:color="auto"/>
                <w:bottom w:val="none" w:sz="0" w:space="0" w:color="auto"/>
                <w:right w:val="none" w:sz="0" w:space="0" w:color="auto"/>
              </w:divBdr>
              <w:divsChild>
                <w:div w:id="15956290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84946864">
      <w:bodyDiv w:val="1"/>
      <w:marLeft w:val="0"/>
      <w:marRight w:val="0"/>
      <w:marTop w:val="0"/>
      <w:marBottom w:val="0"/>
      <w:divBdr>
        <w:top w:val="none" w:sz="0" w:space="0" w:color="auto"/>
        <w:left w:val="none" w:sz="0" w:space="0" w:color="auto"/>
        <w:bottom w:val="none" w:sz="0" w:space="0" w:color="auto"/>
        <w:right w:val="none" w:sz="0" w:space="0" w:color="auto"/>
      </w:divBdr>
      <w:divsChild>
        <w:div w:id="873343822">
          <w:marLeft w:val="0"/>
          <w:marRight w:val="0"/>
          <w:marTop w:val="0"/>
          <w:marBottom w:val="0"/>
          <w:divBdr>
            <w:top w:val="none" w:sz="0" w:space="0" w:color="auto"/>
            <w:left w:val="none" w:sz="0" w:space="0" w:color="auto"/>
            <w:bottom w:val="none" w:sz="0" w:space="0" w:color="auto"/>
            <w:right w:val="none" w:sz="0" w:space="0" w:color="auto"/>
          </w:divBdr>
          <w:divsChild>
            <w:div w:id="2002197851">
              <w:marLeft w:val="0"/>
              <w:marRight w:val="0"/>
              <w:marTop w:val="0"/>
              <w:marBottom w:val="0"/>
              <w:divBdr>
                <w:top w:val="none" w:sz="0" w:space="0" w:color="auto"/>
                <w:left w:val="none" w:sz="0" w:space="0" w:color="auto"/>
                <w:bottom w:val="none" w:sz="0" w:space="0" w:color="auto"/>
                <w:right w:val="none" w:sz="0" w:space="0" w:color="auto"/>
              </w:divBdr>
              <w:divsChild>
                <w:div w:id="2047556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06977956">
      <w:bodyDiv w:val="1"/>
      <w:marLeft w:val="0"/>
      <w:marRight w:val="0"/>
      <w:marTop w:val="0"/>
      <w:marBottom w:val="0"/>
      <w:divBdr>
        <w:top w:val="none" w:sz="0" w:space="0" w:color="auto"/>
        <w:left w:val="none" w:sz="0" w:space="0" w:color="auto"/>
        <w:bottom w:val="none" w:sz="0" w:space="0" w:color="auto"/>
        <w:right w:val="none" w:sz="0" w:space="0" w:color="auto"/>
      </w:divBdr>
      <w:divsChild>
        <w:div w:id="1631548877">
          <w:marLeft w:val="0"/>
          <w:marRight w:val="0"/>
          <w:marTop w:val="0"/>
          <w:marBottom w:val="0"/>
          <w:divBdr>
            <w:top w:val="none" w:sz="0" w:space="0" w:color="auto"/>
            <w:left w:val="none" w:sz="0" w:space="0" w:color="auto"/>
            <w:bottom w:val="none" w:sz="0" w:space="0" w:color="auto"/>
            <w:right w:val="none" w:sz="0" w:space="0" w:color="auto"/>
          </w:divBdr>
          <w:divsChild>
            <w:div w:id="2105346655">
              <w:marLeft w:val="0"/>
              <w:marRight w:val="0"/>
              <w:marTop w:val="0"/>
              <w:marBottom w:val="0"/>
              <w:divBdr>
                <w:top w:val="none" w:sz="0" w:space="0" w:color="auto"/>
                <w:left w:val="none" w:sz="0" w:space="0" w:color="auto"/>
                <w:bottom w:val="none" w:sz="0" w:space="0" w:color="auto"/>
                <w:right w:val="none" w:sz="0" w:space="0" w:color="auto"/>
              </w:divBdr>
              <w:divsChild>
                <w:div w:id="8473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5679">
      <w:bodyDiv w:val="1"/>
      <w:marLeft w:val="0"/>
      <w:marRight w:val="0"/>
      <w:marTop w:val="0"/>
      <w:marBottom w:val="0"/>
      <w:divBdr>
        <w:top w:val="none" w:sz="0" w:space="0" w:color="auto"/>
        <w:left w:val="none" w:sz="0" w:space="0" w:color="auto"/>
        <w:bottom w:val="none" w:sz="0" w:space="0" w:color="auto"/>
        <w:right w:val="none" w:sz="0" w:space="0" w:color="auto"/>
      </w:divBdr>
      <w:divsChild>
        <w:div w:id="861474690">
          <w:marLeft w:val="0"/>
          <w:marRight w:val="0"/>
          <w:marTop w:val="0"/>
          <w:marBottom w:val="0"/>
          <w:divBdr>
            <w:top w:val="none" w:sz="0" w:space="0" w:color="auto"/>
            <w:left w:val="none" w:sz="0" w:space="0" w:color="auto"/>
            <w:bottom w:val="none" w:sz="0" w:space="0" w:color="auto"/>
            <w:right w:val="none" w:sz="0" w:space="0" w:color="auto"/>
          </w:divBdr>
          <w:divsChild>
            <w:div w:id="298922566">
              <w:marLeft w:val="0"/>
              <w:marRight w:val="0"/>
              <w:marTop w:val="0"/>
              <w:marBottom w:val="0"/>
              <w:divBdr>
                <w:top w:val="none" w:sz="0" w:space="0" w:color="auto"/>
                <w:left w:val="none" w:sz="0" w:space="0" w:color="auto"/>
                <w:bottom w:val="none" w:sz="0" w:space="0" w:color="auto"/>
                <w:right w:val="none" w:sz="0" w:space="0" w:color="auto"/>
              </w:divBdr>
              <w:divsChild>
                <w:div w:id="894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5346">
      <w:bodyDiv w:val="1"/>
      <w:marLeft w:val="0"/>
      <w:marRight w:val="0"/>
      <w:marTop w:val="0"/>
      <w:marBottom w:val="0"/>
      <w:divBdr>
        <w:top w:val="none" w:sz="0" w:space="0" w:color="auto"/>
        <w:left w:val="none" w:sz="0" w:space="0" w:color="auto"/>
        <w:bottom w:val="none" w:sz="0" w:space="0" w:color="auto"/>
        <w:right w:val="none" w:sz="0" w:space="0" w:color="auto"/>
      </w:divBdr>
      <w:divsChild>
        <w:div w:id="248663412">
          <w:marLeft w:val="0"/>
          <w:marRight w:val="0"/>
          <w:marTop w:val="0"/>
          <w:marBottom w:val="0"/>
          <w:divBdr>
            <w:top w:val="none" w:sz="0" w:space="0" w:color="auto"/>
            <w:left w:val="none" w:sz="0" w:space="0" w:color="auto"/>
            <w:bottom w:val="none" w:sz="0" w:space="0" w:color="auto"/>
            <w:right w:val="none" w:sz="0" w:space="0" w:color="auto"/>
          </w:divBdr>
          <w:divsChild>
            <w:div w:id="1830906678">
              <w:marLeft w:val="0"/>
              <w:marRight w:val="0"/>
              <w:marTop w:val="0"/>
              <w:marBottom w:val="0"/>
              <w:divBdr>
                <w:top w:val="none" w:sz="0" w:space="0" w:color="auto"/>
                <w:left w:val="none" w:sz="0" w:space="0" w:color="auto"/>
                <w:bottom w:val="none" w:sz="0" w:space="0" w:color="auto"/>
                <w:right w:val="none" w:sz="0" w:space="0" w:color="auto"/>
              </w:divBdr>
              <w:divsChild>
                <w:div w:id="11558741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data-protection-and-brexit/standard-contractual-clauses-for-transfers-from-the-eea-to-the-uk-interactive-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data-protection-and-brexit/data-protection-if-there-s-no-brexit-de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553958/leaving-the-eu-six-steps-to-tak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media/for-organisations/documents/2553958/leaving-the-eu-six-steps-to-take.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for-organisations/data-protection-and-brexit/data-protection-if-there-s-no-brexit-deal/the-gdpr/international-data-transf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o.org.uk/about-the-ico/news-and-events/blog-data-protection-and-brexit-ico-advice-for-organisations/" TargetMode="External"/><Relationship Id="rId13" Type="http://schemas.openxmlformats.org/officeDocument/2006/relationships/hyperlink" Target="https://ico.org.uk/for-organisations/data-protection-and-brexit/data-protection-if-there-s-no-brexit-deal/the-gdpr/international-data-transfers/" TargetMode="External"/><Relationship Id="rId3" Type="http://schemas.openxmlformats.org/officeDocument/2006/relationships/hyperlink" Target="https://ico.org.uk/for-organisations/data-protection-and-brexit/data-protection-if-there-s-no-brexit-deal/the-gdpr/international-data-transfers/" TargetMode="External"/><Relationship Id="rId7" Type="http://schemas.openxmlformats.org/officeDocument/2006/relationships/hyperlink" Target="https://ico.org.uk/for-organisations/data-protection-and-brexit/data-protection-if-there-s-no-brexit-deal/the-gdpr/international-data-transfers/" TargetMode="External"/><Relationship Id="rId12" Type="http://schemas.openxmlformats.org/officeDocument/2006/relationships/hyperlink" Target="https://ico.org.uk/for-organisations/data-protection-and-brexit/standard-contractual-clauses-for-transfers-from-the-eea-to-the-uk-interactive-tool/" TargetMode="External"/><Relationship Id="rId2" Type="http://schemas.openxmlformats.org/officeDocument/2006/relationships/hyperlink" Target="https://researchbriefings.parliament.uk/ResearchBriefing/Summary/CBP-8461" TargetMode="External"/><Relationship Id="rId1" Type="http://schemas.openxmlformats.org/officeDocument/2006/relationships/hyperlink" Target="http://www.bailii.org/eu/cases/EUECJ/2018/C62118.html" TargetMode="External"/><Relationship Id="rId6" Type="http://schemas.openxmlformats.org/officeDocument/2006/relationships/hyperlink" Target="http://www.legislation.gov.uk/ukdsi/2019/9780111177594/contents" TargetMode="External"/><Relationship Id="rId11" Type="http://schemas.openxmlformats.org/officeDocument/2006/relationships/hyperlink" Target="https://ico.org.uk/for-organisations/data-protection-and-brexit/information-rights-and-brexit-frequently-asked-questions/" TargetMode="External"/><Relationship Id="rId5" Type="http://schemas.openxmlformats.org/officeDocument/2006/relationships/hyperlink" Target="https://www.gov.uk/government/publications/data-protection-law-eu-exit/amendments-to-uk-data-protection-law-in-the-event-the-uk-leaves-the-eu-without-a-deal-on-29-march-2019" TargetMode="External"/><Relationship Id="rId15" Type="http://schemas.openxmlformats.org/officeDocument/2006/relationships/hyperlink" Target="https://ico.org.uk/for-organisations/data-protection-and-brexit/data-protection-if-there-s-no-brexit-deal/the-gdpr/international-data-transfers/" TargetMode="External"/><Relationship Id="rId10" Type="http://schemas.openxmlformats.org/officeDocument/2006/relationships/hyperlink" Target="https://ico.org.uk/for-organisations/data-protection-and-brexit/data-protection-if-there-s-no-brexit-deal/" TargetMode="External"/><Relationship Id="rId4" Type="http://schemas.openxmlformats.org/officeDocument/2006/relationships/hyperlink" Target="https://www.gov.uk/government/publications/data-protection-if-theres-no-brexit-deal/data-protection-if-theres-no-brexit-deal" TargetMode="External"/><Relationship Id="rId9" Type="http://schemas.openxmlformats.org/officeDocument/2006/relationships/hyperlink" Target="https://ico.org.uk/media/2553958/leaving-the-eu-six-steps-to-take.pdf" TargetMode="External"/><Relationship Id="rId14" Type="http://schemas.openxmlformats.org/officeDocument/2006/relationships/hyperlink" Target="https://www.privacyshield.gov/article?id=Privacy-Shield-and-the-UK-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5268C-AFAD-4C8C-BA8D-951BEA57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E07284.dotm</Template>
  <TotalTime>1</TotalTime>
  <Pages>6</Pages>
  <Words>3497</Words>
  <Characters>19935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Tim Adams</cp:lastModifiedBy>
  <cp:revision>2</cp:revision>
  <dcterms:created xsi:type="dcterms:W3CDTF">2019-02-07T16:19:00Z</dcterms:created>
  <dcterms:modified xsi:type="dcterms:W3CDTF">2019-02-07T16:19:00Z</dcterms:modified>
</cp:coreProperties>
</file>